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2E6DA4"/>
          <w:sz w:val="18"/>
          <w:szCs w:val="18"/>
        </w:rPr>
        <w:t xml:space="preserve">EQUITY RESEARCH | INTERACTIVE ENTERTAINMENT</w:t>
      </w:r>
    </w:p>
    <w:p>
      <w:pPr>
        <w:pBdr>
          <w:bottom w:val="single" w:color="1F3A5F" w:sz="12" w:space="6"/>
        </w:pBdr>
        <w:spacing w:after="20"/>
      </w:pPr>
      <w:r>
        <w:rPr>
          <w:b/>
          <w:bCs/>
          <w:color w:val="1F3A5F"/>
          <w:sz w:val="40"/>
          <w:szCs w:val="40"/>
        </w:rPr>
        <w:t xml:space="preserve">Take-Two Interactive Software, Inc.</w:t>
      </w:r>
    </w:p>
    <w:p>
      <w:pPr>
        <w:spacing w:after="40" w:before="80"/>
      </w:pPr>
      <w:r>
        <w:rPr>
          <w:b/>
          <w:bCs/>
          <w:color w:val="222222"/>
          <w:sz w:val="22"/>
          <w:szCs w:val="22"/>
        </w:rPr>
        <w:t xml:space="preserve">NASDAQ: TTWO</w:t>
      </w:r>
      <w:r>
        <w:rPr>
          <w:color w:val="5A5A5A"/>
          <w:sz w:val="20"/>
          <w:szCs w:val="20"/>
        </w:rPr>
        <w:t xml:space="preserve"> Sector: Communication Services / Interactive Media</w:t>
      </w:r>
    </w:p>
    <w:p>
      <w:pPr>
        <w:spacing w:after="160"/>
      </w:pPr>
      <w:r>
        <w:rPr>
          <w:i/>
          <w:iCs/>
          <w:color w:val="5A5A5A"/>
          <w:sz w:val="18"/>
          <w:szCs w:val="18"/>
        </w:rPr>
        <w:t xml:space="preserve">Report date: July 4, 2026 Prices as of the July 3, 2026 close</w:t>
      </w:r>
    </w:p>
    <w:tbl>
      <w:tblPr>
        <w:tblW w:type="dxa" w:w="8060"/>
        <w:tblBorders>
          <w:top w:val="single" w:color="C9D4E0" w:sz="2"/>
          <w:left w:val="none"/>
          <w:bottom w:val="single" w:color="C9D4E0" w:sz="2"/>
          <w:right w:val="none"/>
          <w:insideH w:val="single" w:color="C9D4E0" w:sz="1"/>
          <w:insideV w:val="none"/>
        </w:tblBorders>
      </w:tblPr>
      <w:tblGrid>
        <w:gridCol w:w="2200"/>
        <w:gridCol w:w="1500"/>
        <w:gridCol w:w="1500"/>
        <w:gridCol w:w="1500"/>
        <w:gridCol w:w="1360"/>
      </w:tblGrid>
      <w:tr>
        <w:trPr>
          <w:tblHeader/>
        </w:trPr>
        <w:tc>
          <w:tcPr>
            <w:tcW w:type="dxa" w:w="2200"/>
            <w:shd w:fill="1F3A5F" w:color="auto" w:val="clear"/>
            <w:tcMar>
              <w:top w:type="dxa" w:w="60"/>
              <w:left w:type="dxa" w:w="90"/>
              <w:bottom w:type="dxa" w:w="60"/>
              <w:right w:type="dxa" w:w="90"/>
            </w:tcMar>
          </w:tcPr>
          <w:p>
            <w:pPr>
              <w:jc w:val="left"/>
            </w:pPr>
            <w:r>
              <w:rPr>
                <w:b/>
                <w:bCs/>
                <w:color w:val="FFFFFF"/>
                <w:sz w:val="19"/>
                <w:szCs w:val="19"/>
              </w:rPr>
              <w:t xml:space="preserve">Rating (illustrative)</w:t>
            </w:r>
          </w:p>
        </w:tc>
        <w:tc>
          <w:tcPr>
            <w:tcW w:type="dxa" w:w="1500"/>
            <w:shd w:fill="1F3A5F" w:color="auto" w:val="clear"/>
            <w:tcMar>
              <w:top w:type="dxa" w:w="60"/>
              <w:left w:type="dxa" w:w="90"/>
              <w:bottom w:type="dxa" w:w="60"/>
              <w:right w:type="dxa" w:w="90"/>
            </w:tcMar>
          </w:tcPr>
          <w:p>
            <w:pPr>
              <w:jc w:val="right"/>
            </w:pPr>
            <w:r>
              <w:rPr>
                <w:b/>
                <w:bCs/>
                <w:color w:val="FFFFFF"/>
                <w:sz w:val="19"/>
                <w:szCs w:val="19"/>
              </w:rPr>
              <w:t xml:space="preserve">12-mo. Target</w:t>
            </w:r>
          </w:p>
        </w:tc>
        <w:tc>
          <w:tcPr>
            <w:tcW w:type="dxa" w:w="1500"/>
            <w:shd w:fill="1F3A5F" w:color="auto" w:val="clear"/>
            <w:tcMar>
              <w:top w:type="dxa" w:w="60"/>
              <w:left w:type="dxa" w:w="90"/>
              <w:bottom w:type="dxa" w:w="60"/>
              <w:right w:type="dxa" w:w="90"/>
            </w:tcMar>
          </w:tcPr>
          <w:p>
            <w:pPr>
              <w:jc w:val="right"/>
            </w:pPr>
            <w:r>
              <w:rPr>
                <w:b/>
                <w:bCs/>
                <w:color w:val="FFFFFF"/>
                <w:sz w:val="19"/>
                <w:szCs w:val="19"/>
              </w:rPr>
              <w:t xml:space="preserve">Recent Price</w:t>
            </w:r>
          </w:p>
        </w:tc>
        <w:tc>
          <w:tcPr>
            <w:tcW w:type="dxa" w:w="1500"/>
            <w:shd w:fill="1F3A5F" w:color="auto" w:val="clear"/>
            <w:tcMar>
              <w:top w:type="dxa" w:w="60"/>
              <w:left w:type="dxa" w:w="90"/>
              <w:bottom w:type="dxa" w:w="60"/>
              <w:right w:type="dxa" w:w="90"/>
            </w:tcMar>
          </w:tcPr>
          <w:p>
            <w:pPr>
              <w:jc w:val="right"/>
            </w:pPr>
            <w:r>
              <w:rPr>
                <w:b/>
                <w:bCs/>
                <w:color w:val="FFFFFF"/>
                <w:sz w:val="19"/>
                <w:szCs w:val="19"/>
              </w:rPr>
              <w:t xml:space="preserve">Implied Return</w:t>
            </w:r>
          </w:p>
        </w:tc>
        <w:tc>
          <w:tcPr>
            <w:tcW w:type="dxa" w:w="1360"/>
            <w:shd w:fill="1F3A5F" w:color="auto" w:val="clear"/>
            <w:tcMar>
              <w:top w:type="dxa" w:w="60"/>
              <w:left w:type="dxa" w:w="90"/>
              <w:bottom w:type="dxa" w:w="60"/>
              <w:right w:type="dxa" w:w="90"/>
            </w:tcMar>
          </w:tcPr>
          <w:p>
            <w:pPr>
              <w:jc w:val="right"/>
            </w:pPr>
            <w:r>
              <w:rPr>
                <w:b/>
                <w:bCs/>
                <w:color w:val="FFFFFF"/>
                <w:sz w:val="19"/>
                <w:szCs w:val="19"/>
              </w:rPr>
              <w:t xml:space="preserve">Market Cap</w:t>
            </w:r>
          </w:p>
        </w:tc>
      </w:tr>
      <w:tr>
        <w:tc>
          <w:tcPr>
            <w:tcW w:type="dxa" w:w="2200"/>
            <w:shd w:fill="FFFFFF" w:color="auto" w:val="clear"/>
            <w:tcMar>
              <w:top w:type="dxa" w:w="50"/>
              <w:left w:type="dxa" w:w="90"/>
              <w:bottom w:type="dxa" w:w="50"/>
              <w:right w:type="dxa" w:w="90"/>
            </w:tcMar>
          </w:tcPr>
          <w:p>
            <w:pPr>
              <w:jc w:val="left"/>
            </w:pPr>
            <w:r>
              <w:rPr>
                <w:b/>
                <w:bCs/>
                <w:color w:val="1E6B3A"/>
                <w:sz w:val="19"/>
                <w:szCs w:val="19"/>
              </w:rPr>
              <w:t xml:space="preserve">OVERWEIGHT (long-term)</w:t>
            </w:r>
          </w:p>
        </w:tc>
        <w:tc>
          <w:tcPr>
            <w:tcW w:type="dxa" w:w="1500"/>
            <w:shd w:fill="FFFFFF" w:color="auto" w:val="clear"/>
            <w:tcMar>
              <w:top w:type="dxa" w:w="50"/>
              <w:left w:type="dxa" w:w="90"/>
              <w:bottom w:type="dxa" w:w="50"/>
              <w:right w:type="dxa" w:w="90"/>
            </w:tcMar>
          </w:tcPr>
          <w:p>
            <w:pPr>
              <w:jc w:val="right"/>
            </w:pPr>
            <w:r>
              <w:rPr>
                <w:b/>
                <w:bCs/>
                <w:color w:val="222222"/>
                <w:sz w:val="19"/>
                <w:szCs w:val="19"/>
              </w:rPr>
              <w:t xml:space="preserve">$281</w:t>
            </w:r>
          </w:p>
        </w:tc>
        <w:tc>
          <w:tcPr>
            <w:tcW w:type="dxa" w:w="1500"/>
            <w:shd w:fill="FFFFFF" w:color="auto" w:val="clear"/>
            <w:tcMar>
              <w:top w:type="dxa" w:w="50"/>
              <w:left w:type="dxa" w:w="90"/>
              <w:bottom w:type="dxa" w:w="50"/>
              <w:right w:type="dxa" w:w="90"/>
            </w:tcMar>
          </w:tcPr>
          <w:p>
            <w:pPr>
              <w:jc w:val="right"/>
            </w:pPr>
            <w:r>
              <w:rPr>
                <w:b/>
                <w:bCs/>
                <w:color w:val="222222"/>
                <w:sz w:val="19"/>
                <w:szCs w:val="19"/>
              </w:rPr>
              <w:t xml:space="preserve">~$250</w:t>
            </w:r>
          </w:p>
        </w:tc>
        <w:tc>
          <w:tcPr>
            <w:tcW w:type="dxa" w:w="1500"/>
            <w:shd w:fill="FFFFFF" w:color="auto" w:val="clear"/>
            <w:tcMar>
              <w:top w:type="dxa" w:w="50"/>
              <w:left w:type="dxa" w:w="90"/>
              <w:bottom w:type="dxa" w:w="50"/>
              <w:right w:type="dxa" w:w="90"/>
            </w:tcMar>
          </w:tcPr>
          <w:p>
            <w:pPr>
              <w:jc w:val="right"/>
            </w:pPr>
            <w:r>
              <w:rPr>
                <w:b/>
                <w:bCs/>
                <w:color w:val="1E6B3A"/>
                <w:sz w:val="19"/>
                <w:szCs w:val="19"/>
              </w:rPr>
              <w:t xml:space="preserve">+12%</w:t>
            </w:r>
          </w:p>
        </w:tc>
        <w:tc>
          <w:tcPr>
            <w:tcW w:type="dxa" w:w="1360"/>
            <w:shd w:fill="FFFFFF" w:color="auto" w:val="clear"/>
            <w:tcMar>
              <w:top w:type="dxa" w:w="50"/>
              <w:left w:type="dxa" w:w="90"/>
              <w:bottom w:type="dxa" w:w="50"/>
              <w:right w:type="dxa" w:w="90"/>
            </w:tcMar>
          </w:tcPr>
          <w:p>
            <w:pPr>
              <w:jc w:val="right"/>
            </w:pPr>
            <w:r>
              <w:rPr>
                <w:b/>
                <w:bCs/>
                <w:color w:val="222222"/>
                <w:sz w:val="19"/>
                <w:szCs w:val="19"/>
              </w:rPr>
              <w:t xml:space="preserve">~$47B</w:t>
            </w:r>
          </w:p>
        </w:tc>
      </w:tr>
    </w:tbl>
    <w:p>
      <w:pPr>
        <w:spacing w:after="200" w:before="60"/>
      </w:pPr>
      <w:r>
        <w:rPr>
          <w:i/>
          <w:iCs/>
          <w:color w:val="5A5A5A"/>
          <w:sz w:val="16"/>
          <w:szCs w:val="16"/>
        </w:rPr>
        <w:t xml:space="preserve">Rating reflects the consensus set-up; see Valuation and Scenario Analysis. Near-term stance is more cautious given launch-timing and "sell-the-news" risk.</w:t>
      </w:r>
    </w:p>
    <w:p>
      <w:pPr>
        <w:pStyle w:val="Heading1"/>
        <w:pBdr>
          <w:bottom w:val="single" w:color="C9D4E0" w:sz="6" w:space="4"/>
        </w:pBdr>
        <w:spacing w:after="90" w:before="170"/>
      </w:pPr>
      <w:r>
        <w:rPr>
          <w:b/>
          <w:bCs/>
          <w:color w:val="1F3A5F"/>
          <w:sz w:val="28"/>
          <w:szCs w:val="28"/>
        </w:rPr>
        <w:t xml:space="preserve">Executive Summary</w:t>
      </w:r>
    </w:p>
    <w:p>
      <w:pPr>
        <w:spacing w:after="120" w:line="276"/>
      </w:pPr>
      <w:r>
        <w:rPr>
          <w:color w:val="222222"/>
          <w:sz w:val="21"/>
          <w:szCs w:val="21"/>
        </w:rPr>
        <w:t xml:space="preserve">Take-Two is a top-tier global video-game publisher entering the most consequential release cycle in its history. The investment case turns almost entirely on one asset: </w:t>
      </w:r>
      <w:r>
        <w:rPr>
          <w:b/>
          <w:bCs/>
          <w:color w:val="222222"/>
          <w:sz w:val="21"/>
          <w:szCs w:val="21"/>
        </w:rPr>
        <w:t xml:space="preserve">Grand Theft Auto VI (GTA VI), confirmed for November 19, 2026.</w:t>
      </w:r>
      <w:r>
        <w:rPr>
          <w:color w:val="222222"/>
          <w:sz w:val="21"/>
          <w:szCs w:val="21"/>
        </w:rPr>
        <w:t xml:space="preserve"> Management guides fiscal 2027 net bookings to $8.0-$8.2 billion, roughly 20% growth over FY26's record $6.72 billion, with the increment driven overwhelmingly by the launch.</w:t>
      </w:r>
    </w:p>
    <w:p>
      <w:pPr>
        <w:spacing w:after="120" w:line="276"/>
      </w:pPr>
      <w:r>
        <w:rPr>
          <w:color w:val="222222"/>
          <w:sz w:val="21"/>
          <w:szCs w:val="21"/>
        </w:rPr>
        <w:t xml:space="preserve">The company is emerging from a multi-year investment trough - trailing earnings are still negative - into what should be a sharp free-cash-flow inflection. The supporting portfolio (NBA 2K, Zynga mobile, a deep back catalog) is genuinely strong and increasingly recurring-revenue driven, which de-risks the between-release years.</w:t>
      </w:r>
    </w:p>
    <w:p>
      <w:pPr>
        <w:spacing w:after="120" w:line="276"/>
      </w:pPr>
      <w:r>
        <w:rPr>
          <w:color w:val="222222"/>
          <w:sz w:val="21"/>
          <w:szCs w:val="21"/>
        </w:rPr>
        <w:t xml:space="preserve">Our concerns are threefold: the stock trades near 52-week highs on a premium forward multiple; management's FY27 net-bookings guide of $8.0-$8.2B came in below the ~$9.1B the Street had penciled in; and - critically - GTA VI ships single-player-only, with GTA Online </w:t>
      </w:r>
      <w:r>
        <w:rPr>
          <w:i/>
          <w:iCs/>
          <w:color w:val="222222"/>
          <w:sz w:val="21"/>
          <w:szCs w:val="21"/>
        </w:rPr>
        <w:t xml:space="preserve">not</w:t>
      </w:r>
      <w:r>
        <w:rPr>
          <w:color w:val="222222"/>
          <w:sz w:val="21"/>
          <w:szCs w:val="21"/>
        </w:rPr>
        <w:t xml:space="preserve"> launching alongside it. The durable, high-margin online annuity that underpins the most bullish targets is therefore deferred to an unspecified later date. Add the perennial Rockstar delay risk, and the near-term set-up is more balanced than the headline hype suggests.</w:t>
      </w:r>
    </w:p>
    <w:p>
      <w:pPr>
        <w:spacing w:after="120" w:line="276"/>
      </w:pPr>
      <w:r>
        <w:rPr>
          <w:b/>
          <w:bCs/>
          <w:color w:val="222222"/>
          <w:sz w:val="21"/>
          <w:szCs w:val="21"/>
        </w:rPr>
        <w:t xml:space="preserve">We view TTWO as a high-conviction long-term holding but a poor candidate for an all-at-once, "get in before it pops" entry.</w:t>
      </w:r>
    </w:p>
    <w:p>
      <w:pPr>
        <w:pStyle w:val="Heading1"/>
        <w:pBdr>
          <w:bottom w:val="single" w:color="C9D4E0" w:sz="6" w:space="4"/>
        </w:pBdr>
        <w:spacing w:after="90" w:before="170"/>
      </w:pPr>
      <w:r>
        <w:rPr>
          <w:b/>
          <w:bCs/>
          <w:color w:val="1F3A5F"/>
          <w:sz w:val="28"/>
          <w:szCs w:val="28"/>
        </w:rPr>
        <w:t xml:space="preserve">Investment Thesis</w:t>
      </w:r>
    </w:p>
    <w:p>
      <w:pPr>
        <w:pStyle w:val="Heading2"/>
        <w:spacing w:after="90" w:before="170"/>
      </w:pPr>
      <w:r>
        <w:rPr>
          <w:b/>
          <w:bCs/>
          <w:color w:val="1F3A5F"/>
          <w:sz w:val="24"/>
          <w:szCs w:val="24"/>
        </w:rPr>
        <w:t xml:space="preserve">Bull case</w:t>
      </w:r>
    </w:p>
    <w:p>
      <w:pPr>
        <w:pStyle w:val="ListParagraph"/>
        <w:numPr>
          <w:ilvl w:val="0"/>
          <w:numId w:val="1"/>
        </w:numPr>
        <w:spacing w:after="64" w:line="272"/>
      </w:pPr>
      <w:r>
        <w:rPr>
          <w:b/>
          <w:bCs/>
          <w:color w:val="222222"/>
          <w:sz w:val="21"/>
          <w:szCs w:val="21"/>
        </w:rPr>
        <w:t xml:space="preserve">Generational catalyst. </w:t>
      </w:r>
      <w:r>
        <w:rPr>
          <w:color w:val="222222"/>
          <w:sz w:val="21"/>
          <w:szCs w:val="21"/>
        </w:rPr>
        <w:t xml:space="preserve">GTA V has sold 200M+ lifetime units; GTA VI is positioned to be one of the largest entertainment launches ever, with day-one estimates around 25M units - more than double GTA V's record.</w:t>
      </w:r>
    </w:p>
    <w:p>
      <w:pPr>
        <w:pStyle w:val="ListParagraph"/>
        <w:numPr>
          <w:ilvl w:val="0"/>
          <w:numId w:val="1"/>
        </w:numPr>
        <w:spacing w:after="64" w:line="272"/>
      </w:pPr>
      <w:r>
        <w:rPr>
          <w:b/>
          <w:bCs/>
          <w:color w:val="222222"/>
          <w:sz w:val="21"/>
          <w:szCs w:val="21"/>
        </w:rPr>
        <w:t xml:space="preserve">Recurring-revenue engine. </w:t>
      </w:r>
      <w:r>
        <w:rPr>
          <w:color w:val="222222"/>
          <w:sz w:val="21"/>
          <w:szCs w:val="21"/>
        </w:rPr>
        <w:t xml:space="preserve">Recurrent consumer spending was 78% of FY26 bookings and grew 17%. The GTA Online successor is a future - not day-one - catalyst, but it is the durable, high-margin annuity that underpins the highest Street targets once it arrives.</w:t>
      </w:r>
    </w:p>
    <w:p>
      <w:pPr>
        <w:pStyle w:val="ListParagraph"/>
        <w:numPr>
          <w:ilvl w:val="0"/>
          <w:numId w:val="1"/>
        </w:numPr>
        <w:spacing w:after="64" w:line="272"/>
      </w:pPr>
      <w:r>
        <w:rPr>
          <w:b/>
          <w:bCs/>
          <w:color w:val="222222"/>
          <w:sz w:val="21"/>
          <w:szCs w:val="21"/>
        </w:rPr>
        <w:t xml:space="preserve">Diversified hit portfolio. </w:t>
      </w:r>
      <w:r>
        <w:rPr>
          <w:color w:val="222222"/>
          <w:sz w:val="21"/>
          <w:szCs w:val="21"/>
        </w:rPr>
        <w:t xml:space="preserve">NBA 2K grew 30%+ in FY26; Zynga posted its best bookings since the 2022 acquisition. This is not a single-title company.</w:t>
      </w:r>
    </w:p>
    <w:p>
      <w:pPr>
        <w:pStyle w:val="ListParagraph"/>
        <w:numPr>
          <w:ilvl w:val="0"/>
          <w:numId w:val="1"/>
        </w:numPr>
        <w:spacing w:after="64" w:line="272"/>
      </w:pPr>
      <w:r>
        <w:rPr>
          <w:b/>
          <w:bCs/>
          <w:color w:val="222222"/>
          <w:sz w:val="21"/>
          <w:szCs w:val="21"/>
        </w:rPr>
        <w:t xml:space="preserve">Cash-flow inflection. </w:t>
      </w:r>
      <w:r>
        <w:rPr>
          <w:color w:val="222222"/>
          <w:sz w:val="21"/>
          <w:szCs w:val="21"/>
        </w:rPr>
        <w:t xml:space="preserve">The heavy GTA VI development spend is largely behind the company; FY27 should mark a step-change in operating cash flow and margins.</w:t>
      </w:r>
    </w:p>
    <w:p>
      <w:pPr>
        <w:pStyle w:val="ListParagraph"/>
        <w:numPr>
          <w:ilvl w:val="0"/>
          <w:numId w:val="1"/>
        </w:numPr>
        <w:spacing w:after="64" w:line="272"/>
      </w:pPr>
      <w:r>
        <w:rPr>
          <w:b/>
          <w:bCs/>
          <w:color w:val="222222"/>
          <w:sz w:val="21"/>
          <w:szCs w:val="21"/>
        </w:rPr>
        <w:t xml:space="preserve">Unpriced optionality. </w:t>
      </w:r>
      <w:r>
        <w:rPr>
          <w:color w:val="222222"/>
          <w:sz w:val="21"/>
          <w:szCs w:val="21"/>
        </w:rPr>
        <w:t xml:space="preserve">A later GTA VI PC release is not in any published analyst model as of mid-2026 - a clean source of upside if/when it lands.</w:t>
      </w:r>
    </w:p>
    <w:p>
      <w:pPr>
        <w:pStyle w:val="Heading2"/>
        <w:spacing w:after="90" w:before="170"/>
      </w:pPr>
      <w:r>
        <w:rPr>
          <w:b/>
          <w:bCs/>
          <w:color w:val="1F3A5F"/>
          <w:sz w:val="24"/>
          <w:szCs w:val="24"/>
        </w:rPr>
        <w:t xml:space="preserve">Bear case</w:t>
      </w:r>
    </w:p>
    <w:p>
      <w:pPr>
        <w:pStyle w:val="ListParagraph"/>
        <w:numPr>
          <w:ilvl w:val="0"/>
          <w:numId w:val="1"/>
        </w:numPr>
        <w:spacing w:after="64" w:line="272"/>
      </w:pPr>
      <w:r>
        <w:rPr>
          <w:b/>
          <w:bCs/>
          <w:color w:val="222222"/>
          <w:sz w:val="21"/>
          <w:szCs w:val="21"/>
        </w:rPr>
        <w:t xml:space="preserve">Delay risk. </w:t>
      </w:r>
      <w:r>
        <w:rPr>
          <w:color w:val="222222"/>
          <w:sz w:val="21"/>
          <w:szCs w:val="21"/>
        </w:rPr>
        <w:t xml:space="preserve">GTA VI has already slipped once (from a prior 2026 window to November 19). Rockstar has a long history of moving dates; any further slip breaks the FY27 guide.</w:t>
      </w:r>
    </w:p>
    <w:p>
      <w:pPr>
        <w:pStyle w:val="ListParagraph"/>
        <w:numPr>
          <w:ilvl w:val="0"/>
          <w:numId w:val="1"/>
        </w:numPr>
        <w:spacing w:after="64" w:line="272"/>
      </w:pPr>
      <w:r>
        <w:rPr>
          <w:b/>
          <w:bCs/>
          <w:color w:val="222222"/>
          <w:sz w:val="21"/>
          <w:szCs w:val="21"/>
        </w:rPr>
        <w:t xml:space="preserve">Online deferred. </w:t>
      </w:r>
      <w:r>
        <w:rPr>
          <w:color w:val="222222"/>
          <w:sz w:val="21"/>
          <w:szCs w:val="21"/>
        </w:rPr>
        <w:t xml:space="preserve">GTA VI launches single-player-only with no online mode and no announced timeline for one. FY27 revenue leans on one-off unit sales rather than the recurring online spend the bull case is built on.</w:t>
      </w:r>
    </w:p>
    <w:p>
      <w:pPr>
        <w:pStyle w:val="ListParagraph"/>
        <w:numPr>
          <w:ilvl w:val="0"/>
          <w:numId w:val="1"/>
        </w:numPr>
        <w:spacing w:after="64" w:line="272"/>
      </w:pPr>
      <w:r>
        <w:rPr>
          <w:b/>
          <w:bCs/>
          <w:color w:val="222222"/>
          <w:sz w:val="21"/>
          <w:szCs w:val="21"/>
        </w:rPr>
        <w:t xml:space="preserve">Guidance below the Street. </w:t>
      </w:r>
      <w:r>
        <w:rPr>
          <w:color w:val="222222"/>
          <w:sz w:val="21"/>
          <w:szCs w:val="21"/>
        </w:rPr>
        <w:t xml:space="preserve">FY27 net-bookings guidance of $8.0-$8.2B undershot the ~$9.1B consensus, and FY27 is still expected to post a GAAP net loss. Management calls it conservative; skeptics call it a reality check.</w:t>
      </w:r>
    </w:p>
    <w:p>
      <w:pPr>
        <w:pStyle w:val="ListParagraph"/>
        <w:numPr>
          <w:ilvl w:val="0"/>
          <w:numId w:val="1"/>
        </w:numPr>
        <w:spacing w:after="64" w:line="272"/>
      </w:pPr>
      <w:r>
        <w:rPr>
          <w:b/>
          <w:bCs/>
          <w:color w:val="222222"/>
          <w:sz w:val="21"/>
          <w:szCs w:val="21"/>
        </w:rPr>
        <w:t xml:space="preserve">Valuation &amp; "sell-the-news." </w:t>
      </w:r>
      <w:r>
        <w:rPr>
          <w:color w:val="222222"/>
          <w:sz w:val="21"/>
          <w:szCs w:val="21"/>
        </w:rPr>
        <w:t xml:space="preserve">At ~37x forward earnings and near 52-week highs, much of the good news is priced. The stock has dipped on positive pre-order data, a classic anticipation-unwind pattern.</w:t>
      </w:r>
    </w:p>
    <w:p>
      <w:pPr>
        <w:pStyle w:val="ListParagraph"/>
        <w:numPr>
          <w:ilvl w:val="0"/>
          <w:numId w:val="1"/>
        </w:numPr>
        <w:spacing w:after="64" w:line="272"/>
      </w:pPr>
      <w:r>
        <w:rPr>
          <w:b/>
          <w:bCs/>
          <w:color w:val="222222"/>
          <w:sz w:val="21"/>
          <w:szCs w:val="21"/>
        </w:rPr>
        <w:t xml:space="preserve">Pricing &amp; leverage. </w:t>
      </w:r>
      <w:r>
        <w:rPr>
          <w:color w:val="222222"/>
          <w:sz w:val="21"/>
          <w:szCs w:val="21"/>
        </w:rPr>
        <w:t xml:space="preserve">The $79.99 base price is ~10% under the $90-$100 some analysts had modeled; net debt makes the balance sheet a risk multiplier if the launch disappoints.</w:t>
      </w:r>
    </w:p>
    <w:p>
      <w:pPr>
        <w:pStyle w:val="ListParagraph"/>
        <w:numPr>
          <w:ilvl w:val="0"/>
          <w:numId w:val="1"/>
        </w:numPr>
        <w:spacing w:after="64" w:line="272"/>
      </w:pPr>
      <w:r>
        <w:rPr>
          <w:b/>
          <w:bCs/>
          <w:color w:val="222222"/>
          <w:sz w:val="21"/>
          <w:szCs w:val="21"/>
        </w:rPr>
        <w:t xml:space="preserve">Insider selling. </w:t>
      </w:r>
      <w:r>
        <w:rPr>
          <w:color w:val="222222"/>
          <w:sz w:val="21"/>
          <w:szCs w:val="21"/>
        </w:rPr>
        <w:t xml:space="preserve">Notable executive share sales around recent highs have tempered some analysts' conviction - common near peaks, but a sentiment negative.</w:t>
      </w:r>
    </w:p>
    <w:p>
      <w:pPr>
        <w:pStyle w:val="Heading1"/>
        <w:pBdr>
          <w:bottom w:val="single" w:color="C9D4E0" w:sz="6" w:space="4"/>
        </w:pBdr>
        <w:spacing w:after="90" w:before="170"/>
      </w:pPr>
      <w:r>
        <w:rPr>
          <w:b/>
          <w:bCs/>
          <w:color w:val="1F3A5F"/>
          <w:sz w:val="28"/>
          <w:szCs w:val="28"/>
        </w:rPr>
        <w:t xml:space="preserve">Company Overview</w:t>
      </w:r>
    </w:p>
    <w:p>
      <w:pPr>
        <w:spacing w:after="120" w:line="276"/>
      </w:pPr>
      <w:r>
        <w:rPr>
          <w:color w:val="222222"/>
          <w:sz w:val="21"/>
          <w:szCs w:val="21"/>
        </w:rPr>
        <w:t xml:space="preserve">Founded in 1993 and headquartered in New York, Take-Two develops and publishes interactive entertainment across three principal labels:</w:t>
      </w:r>
    </w:p>
    <w:p>
      <w:pPr>
        <w:pStyle w:val="ListParagraph"/>
        <w:numPr>
          <w:ilvl w:val="0"/>
          <w:numId w:val="1"/>
        </w:numPr>
        <w:spacing w:after="64" w:line="272"/>
      </w:pPr>
      <w:r>
        <w:rPr>
          <w:b/>
          <w:bCs/>
          <w:color w:val="222222"/>
          <w:sz w:val="21"/>
          <w:szCs w:val="21"/>
        </w:rPr>
        <w:t xml:space="preserve">Rockstar Games - </w:t>
      </w:r>
      <w:r>
        <w:rPr>
          <w:color w:val="222222"/>
          <w:sz w:val="21"/>
          <w:szCs w:val="21"/>
        </w:rPr>
        <w:t xml:space="preserve">the crown jewel: Grand Theft Auto, Red Dead Redemption, Max Payne, Midnight Club. Management now pegs GTA at under 15% of net bookings (down from roughly a third of sales historically) as mobile and NBA 2K have scaled - though GTA VI will re-concentrate the mix in FY27.</w:t>
      </w:r>
    </w:p>
    <w:p>
      <w:pPr>
        <w:pStyle w:val="ListParagraph"/>
        <w:numPr>
          <w:ilvl w:val="0"/>
          <w:numId w:val="1"/>
        </w:numPr>
        <w:spacing w:after="64" w:line="272"/>
      </w:pPr>
      <w:r>
        <w:rPr>
          <w:b/>
          <w:bCs/>
          <w:color w:val="222222"/>
          <w:sz w:val="21"/>
          <w:szCs w:val="21"/>
        </w:rPr>
        <w:t xml:space="preserve">2K - </w:t>
      </w:r>
      <w:r>
        <w:rPr>
          <w:color w:val="222222"/>
          <w:sz w:val="21"/>
          <w:szCs w:val="21"/>
        </w:rPr>
        <w:t xml:space="preserve">NBA 2K (the dominant basketball sim), WWE 2K, PGA TOUR 2K, plus Borderlands, BioShock, Mafia, Civilization and XCOM.</w:t>
      </w:r>
    </w:p>
    <w:p>
      <w:pPr>
        <w:pStyle w:val="ListParagraph"/>
        <w:numPr>
          <w:ilvl w:val="0"/>
          <w:numId w:val="1"/>
        </w:numPr>
        <w:spacing w:after="64" w:line="272"/>
      </w:pPr>
      <w:r>
        <w:rPr>
          <w:b/>
          <w:bCs/>
          <w:color w:val="222222"/>
          <w:sz w:val="21"/>
          <w:szCs w:val="21"/>
        </w:rPr>
        <w:t xml:space="preserve">Zynga - </w:t>
      </w:r>
      <w:r>
        <w:rPr>
          <w:color w:val="222222"/>
          <w:sz w:val="21"/>
          <w:szCs w:val="21"/>
        </w:rPr>
        <w:t xml:space="preserve">acquired in 2022; free-to-play mobile including Toon Blast, Match Factory!, Empires &amp; Puzzles, Words With Friends and Zynga Poker. Mobile is now roughly half of total sales.</w:t>
      </w:r>
    </w:p>
    <w:p>
      <w:pPr>
        <w:spacing w:after="60" w:line="276"/>
      </w:pPr>
      <w:r>
        <w:rPr>
          <w:color w:val="222222"/>
          <w:sz w:val="21"/>
          <w:szCs w:val="21"/>
        </w:rPr>
        <w:t xml:space="preserve">The model is increasingly one of recurring, in-game spending rather than one-time unit sales: more than three-quarters of bookings now come from recurrent consumer spending (RCS), which smooths the historically lumpy release cycle.</w:t>
      </w:r>
    </w:p>
    <w:p>
      <w:pPr>
        <w:pStyle w:val="Heading1"/>
        <w:pBdr>
          <w:bottom w:val="single" w:color="C9D4E0" w:sz="6" w:space="4"/>
        </w:pBdr>
        <w:spacing w:after="90" w:before="170"/>
      </w:pPr>
      <w:r>
        <w:rPr>
          <w:b/>
          <w:bCs/>
          <w:color w:val="1F3A5F"/>
          <w:sz w:val="28"/>
          <w:szCs w:val="28"/>
        </w:rPr>
        <w:t xml:space="preserve">Recent Financial Performance (FY2026)</w:t>
      </w:r>
    </w:p>
    <w:p>
      <w:pPr>
        <w:spacing w:after="120" w:line="276"/>
      </w:pPr>
      <w:r>
        <w:rPr>
          <w:color w:val="222222"/>
          <w:sz w:val="21"/>
          <w:szCs w:val="21"/>
        </w:rPr>
        <w:t xml:space="preserve">Take-Two closed fiscal 2026 (ended March 31, 2026) with record results that beat guidance across the board.</w:t>
      </w:r>
    </w:p>
    <w:tbl>
      <w:tblPr>
        <w:tblW w:type="dxa" w:w="9060"/>
        <w:tblBorders>
          <w:top w:val="single" w:color="C9D4E0" w:sz="2"/>
          <w:left w:val="none"/>
          <w:bottom w:val="single" w:color="C9D4E0" w:sz="2"/>
          <w:right w:val="none"/>
          <w:insideH w:val="single" w:color="C9D4E0" w:sz="1"/>
          <w:insideV w:val="none"/>
        </w:tblBorders>
      </w:tblPr>
      <w:tblGrid>
        <w:gridCol w:w="2600"/>
        <w:gridCol w:w="1900"/>
        <w:gridCol w:w="4560"/>
      </w:tblGrid>
      <w:tr>
        <w:trPr>
          <w:tblHeader/>
        </w:trPr>
        <w:tc>
          <w:tcPr>
            <w:tcW w:type="dxa" w:w="2600"/>
            <w:shd w:fill="1F3A5F" w:color="auto" w:val="clear"/>
            <w:tcMar>
              <w:top w:type="dxa" w:w="60"/>
              <w:left w:type="dxa" w:w="90"/>
              <w:bottom w:type="dxa" w:w="60"/>
              <w:right w:type="dxa" w:w="90"/>
            </w:tcMar>
          </w:tcPr>
          <w:p>
            <w:pPr>
              <w:jc w:val="left"/>
            </w:pPr>
            <w:r>
              <w:rPr>
                <w:b/>
                <w:bCs/>
                <w:color w:val="FFFFFF"/>
                <w:sz w:val="19"/>
                <w:szCs w:val="19"/>
              </w:rPr>
              <w:t xml:space="preserve">Metric</w:t>
            </w:r>
          </w:p>
        </w:tc>
        <w:tc>
          <w:tcPr>
            <w:tcW w:type="dxa" w:w="1900"/>
            <w:shd w:fill="1F3A5F" w:color="auto" w:val="clear"/>
            <w:tcMar>
              <w:top w:type="dxa" w:w="60"/>
              <w:left w:type="dxa" w:w="90"/>
              <w:bottom w:type="dxa" w:w="60"/>
              <w:right w:type="dxa" w:w="90"/>
            </w:tcMar>
          </w:tcPr>
          <w:p>
            <w:pPr>
              <w:jc w:val="right"/>
            </w:pPr>
            <w:r>
              <w:rPr>
                <w:b/>
                <w:bCs/>
                <w:color w:val="FFFFFF"/>
                <w:sz w:val="19"/>
                <w:szCs w:val="19"/>
              </w:rPr>
              <w:t xml:space="preserve">FY2026 Actual</w:t>
            </w:r>
          </w:p>
        </w:tc>
        <w:tc>
          <w:tcPr>
            <w:tcW w:type="dxa" w:w="4560"/>
            <w:shd w:fill="1F3A5F" w:color="auto" w:val="clear"/>
            <w:tcMar>
              <w:top w:type="dxa" w:w="60"/>
              <w:left w:type="dxa" w:w="90"/>
              <w:bottom w:type="dxa" w:w="60"/>
              <w:right w:type="dxa" w:w="90"/>
            </w:tcMar>
          </w:tcPr>
          <w:p>
            <w:pPr>
              <w:jc w:val="right"/>
            </w:pPr>
            <w:r>
              <w:rPr>
                <w:b/>
                <w:bCs/>
                <w:color w:val="FFFFFF"/>
                <w:sz w:val="19"/>
                <w:szCs w:val="19"/>
              </w:rPr>
              <w:t xml:space="preserve">Commentary</w:t>
            </w:r>
          </w:p>
        </w:tc>
      </w:tr>
      <w:tr>
        <w:tc>
          <w:tcPr>
            <w:tcW w:type="dxa" w:w="2600"/>
            <w:shd w:fill="FFFFFF" w:color="auto" w:val="clear"/>
            <w:tcMar>
              <w:top w:type="dxa" w:w="50"/>
              <w:left w:type="dxa" w:w="90"/>
              <w:bottom w:type="dxa" w:w="50"/>
              <w:right w:type="dxa" w:w="90"/>
            </w:tcMar>
          </w:tcPr>
          <w:p>
            <w:pPr>
              <w:jc w:val="left"/>
            </w:pPr>
            <w:r>
              <w:rPr>
                <w:color w:val="222222"/>
                <w:sz w:val="19"/>
                <w:szCs w:val="19"/>
              </w:rPr>
              <w:t xml:space="preserve">Net bookings (FY)</w:t>
            </w:r>
          </w:p>
        </w:tc>
        <w:tc>
          <w:tcPr>
            <w:tcW w:type="dxa" w:w="1900"/>
            <w:shd w:fill="FFFFFF" w:color="auto" w:val="clear"/>
            <w:tcMar>
              <w:top w:type="dxa" w:w="50"/>
              <w:left w:type="dxa" w:w="90"/>
              <w:bottom w:type="dxa" w:w="50"/>
              <w:right w:type="dxa" w:w="90"/>
            </w:tcMar>
          </w:tcPr>
          <w:p>
            <w:pPr>
              <w:jc w:val="right"/>
            </w:pPr>
            <w:r>
              <w:rPr>
                <w:b/>
                <w:bCs/>
                <w:color w:val="222222"/>
                <w:sz w:val="19"/>
                <w:szCs w:val="19"/>
              </w:rPr>
              <w:t xml:space="preserve">$6.72B</w:t>
            </w:r>
          </w:p>
        </w:tc>
        <w:tc>
          <w:tcPr>
            <w:tcW w:type="dxa" w:w="4560"/>
            <w:shd w:fill="FFFFFF" w:color="auto" w:val="clear"/>
            <w:tcMar>
              <w:top w:type="dxa" w:w="50"/>
              <w:left w:type="dxa" w:w="90"/>
              <w:bottom w:type="dxa" w:w="50"/>
              <w:right w:type="dxa" w:w="90"/>
            </w:tcMar>
          </w:tcPr>
          <w:p>
            <w:pPr>
              <w:jc w:val="right"/>
            </w:pPr>
            <w:r>
              <w:rPr>
                <w:color w:val="222222"/>
                <w:sz w:val="19"/>
                <w:szCs w:val="19"/>
              </w:rPr>
              <w:t xml:space="preserve">~$750M above initial guide; +19% YoY</w:t>
            </w:r>
          </w:p>
        </w:tc>
      </w:tr>
      <w:tr>
        <w:tc>
          <w:tcPr>
            <w:tcW w:type="dxa" w:w="2600"/>
            <w:shd w:fill="EEF2F7" w:color="auto" w:val="clear"/>
            <w:tcMar>
              <w:top w:type="dxa" w:w="50"/>
              <w:left w:type="dxa" w:w="90"/>
              <w:bottom w:type="dxa" w:w="50"/>
              <w:right w:type="dxa" w:w="90"/>
            </w:tcMar>
          </w:tcPr>
          <w:p>
            <w:pPr>
              <w:jc w:val="left"/>
            </w:pPr>
            <w:r>
              <w:rPr>
                <w:color w:val="222222"/>
                <w:sz w:val="19"/>
                <w:szCs w:val="19"/>
              </w:rPr>
              <w:t xml:space="preserve">Q4 net bookings</w:t>
            </w:r>
          </w:p>
        </w:tc>
        <w:tc>
          <w:tcPr>
            <w:tcW w:type="dxa" w:w="1900"/>
            <w:shd w:fill="EEF2F7" w:color="auto" w:val="clear"/>
            <w:tcMar>
              <w:top w:type="dxa" w:w="50"/>
              <w:left w:type="dxa" w:w="90"/>
              <w:bottom w:type="dxa" w:w="50"/>
              <w:right w:type="dxa" w:w="90"/>
            </w:tcMar>
          </w:tcPr>
          <w:p>
            <w:pPr>
              <w:jc w:val="right"/>
            </w:pPr>
            <w:r>
              <w:rPr>
                <w:color w:val="222222"/>
                <w:sz w:val="19"/>
                <w:szCs w:val="19"/>
              </w:rPr>
              <w:t xml:space="preserve">$1.58B</w:t>
            </w:r>
          </w:p>
        </w:tc>
        <w:tc>
          <w:tcPr>
            <w:tcW w:type="dxa" w:w="4560"/>
            <w:shd w:fill="EEF2F7" w:color="auto" w:val="clear"/>
            <w:tcMar>
              <w:top w:type="dxa" w:w="50"/>
              <w:left w:type="dxa" w:w="90"/>
              <w:bottom w:type="dxa" w:w="50"/>
              <w:right w:type="dxa" w:w="90"/>
            </w:tcMar>
          </w:tcPr>
          <w:p>
            <w:pPr>
              <w:jc w:val="right"/>
            </w:pPr>
            <w:r>
              <w:rPr>
                <w:color w:val="222222"/>
                <w:sz w:val="19"/>
                <w:szCs w:val="19"/>
              </w:rPr>
              <w:t xml:space="preserve">Above the high end of guidance</w:t>
            </w:r>
          </w:p>
        </w:tc>
      </w:tr>
      <w:tr>
        <w:tc>
          <w:tcPr>
            <w:tcW w:type="dxa" w:w="2600"/>
            <w:shd w:fill="FFFFFF" w:color="auto" w:val="clear"/>
            <w:tcMar>
              <w:top w:type="dxa" w:w="50"/>
              <w:left w:type="dxa" w:w="90"/>
              <w:bottom w:type="dxa" w:w="50"/>
              <w:right w:type="dxa" w:w="90"/>
            </w:tcMar>
          </w:tcPr>
          <w:p>
            <w:pPr>
              <w:jc w:val="left"/>
            </w:pPr>
            <w:r>
              <w:rPr>
                <w:color w:val="222222"/>
                <w:sz w:val="19"/>
                <w:szCs w:val="19"/>
              </w:rPr>
              <w:t xml:space="preserve">GAAP net revenue (FY)</w:t>
            </w:r>
          </w:p>
        </w:tc>
        <w:tc>
          <w:tcPr>
            <w:tcW w:type="dxa" w:w="1900"/>
            <w:shd w:fill="FFFFFF" w:color="auto" w:val="clear"/>
            <w:tcMar>
              <w:top w:type="dxa" w:w="50"/>
              <w:left w:type="dxa" w:w="90"/>
              <w:bottom w:type="dxa" w:w="50"/>
              <w:right w:type="dxa" w:w="90"/>
            </w:tcMar>
          </w:tcPr>
          <w:p>
            <w:pPr>
              <w:jc w:val="right"/>
            </w:pPr>
            <w:r>
              <w:rPr>
                <w:color w:val="222222"/>
                <w:sz w:val="19"/>
                <w:szCs w:val="19"/>
              </w:rPr>
              <w:t xml:space="preserve">$6.65B</w:t>
            </w:r>
          </w:p>
        </w:tc>
        <w:tc>
          <w:tcPr>
            <w:tcW w:type="dxa" w:w="4560"/>
            <w:shd w:fill="FFFFFF" w:color="auto" w:val="clear"/>
            <w:tcMar>
              <w:top w:type="dxa" w:w="50"/>
              <w:left w:type="dxa" w:w="90"/>
              <w:bottom w:type="dxa" w:w="50"/>
              <w:right w:type="dxa" w:w="90"/>
            </w:tcMar>
          </w:tcPr>
          <w:p>
            <w:pPr>
              <w:jc w:val="right"/>
            </w:pPr>
            <w:r>
              <w:rPr>
                <w:color w:val="222222"/>
                <w:sz w:val="19"/>
                <w:szCs w:val="19"/>
              </w:rPr>
              <w:t xml:space="preserve">+18% YoY</w:t>
            </w:r>
          </w:p>
        </w:tc>
      </w:tr>
      <w:tr>
        <w:tc>
          <w:tcPr>
            <w:tcW w:type="dxa" w:w="2600"/>
            <w:shd w:fill="EEF2F7" w:color="auto" w:val="clear"/>
            <w:tcMar>
              <w:top w:type="dxa" w:w="50"/>
              <w:left w:type="dxa" w:w="90"/>
              <w:bottom w:type="dxa" w:w="50"/>
              <w:right w:type="dxa" w:w="90"/>
            </w:tcMar>
          </w:tcPr>
          <w:p>
            <w:pPr>
              <w:jc w:val="left"/>
            </w:pPr>
            <w:r>
              <w:rPr>
                <w:color w:val="222222"/>
                <w:sz w:val="19"/>
                <w:szCs w:val="19"/>
              </w:rPr>
              <w:t xml:space="preserve">GAAP net loss (FY)</w:t>
            </w:r>
          </w:p>
        </w:tc>
        <w:tc>
          <w:tcPr>
            <w:tcW w:type="dxa" w:w="1900"/>
            <w:shd w:fill="EEF2F7" w:color="auto" w:val="clear"/>
            <w:tcMar>
              <w:top w:type="dxa" w:w="50"/>
              <w:left w:type="dxa" w:w="90"/>
              <w:bottom w:type="dxa" w:w="50"/>
              <w:right w:type="dxa" w:w="90"/>
            </w:tcMar>
          </w:tcPr>
          <w:p>
            <w:pPr>
              <w:jc w:val="right"/>
            </w:pPr>
            <w:r>
              <w:rPr>
                <w:color w:val="9E2B25"/>
                <w:sz w:val="19"/>
                <w:szCs w:val="19"/>
              </w:rPr>
              <w:t xml:space="preserve">-$298.2M</w:t>
            </w:r>
          </w:p>
        </w:tc>
        <w:tc>
          <w:tcPr>
            <w:tcW w:type="dxa" w:w="4560"/>
            <w:shd w:fill="EEF2F7" w:color="auto" w:val="clear"/>
            <w:tcMar>
              <w:top w:type="dxa" w:w="50"/>
              <w:left w:type="dxa" w:w="90"/>
              <w:bottom w:type="dxa" w:w="50"/>
              <w:right w:type="dxa" w:w="90"/>
            </w:tcMar>
          </w:tcPr>
          <w:p>
            <w:pPr>
              <w:jc w:val="right"/>
            </w:pPr>
            <w:r>
              <w:rPr>
                <w:color w:val="222222"/>
                <w:sz w:val="19"/>
                <w:szCs w:val="19"/>
              </w:rPr>
              <w:t xml:space="preserve">Narrowed sharply from prior-year impairment losses</w:t>
            </w:r>
          </w:p>
        </w:tc>
      </w:tr>
      <w:tr>
        <w:tc>
          <w:tcPr>
            <w:tcW w:type="dxa" w:w="2600"/>
            <w:shd w:fill="FFFFFF" w:color="auto" w:val="clear"/>
            <w:tcMar>
              <w:top w:type="dxa" w:w="50"/>
              <w:left w:type="dxa" w:w="90"/>
              <w:bottom w:type="dxa" w:w="50"/>
              <w:right w:type="dxa" w:w="90"/>
            </w:tcMar>
          </w:tcPr>
          <w:p>
            <w:pPr>
              <w:jc w:val="left"/>
            </w:pPr>
            <w:r>
              <w:rPr>
                <w:color w:val="222222"/>
                <w:sz w:val="19"/>
                <w:szCs w:val="19"/>
              </w:rPr>
              <w:t xml:space="preserve">Recurrent spending</w:t>
            </w:r>
          </w:p>
        </w:tc>
        <w:tc>
          <w:tcPr>
            <w:tcW w:type="dxa" w:w="1900"/>
            <w:shd w:fill="FFFFFF" w:color="auto" w:val="clear"/>
            <w:tcMar>
              <w:top w:type="dxa" w:w="50"/>
              <w:left w:type="dxa" w:w="90"/>
              <w:bottom w:type="dxa" w:w="50"/>
              <w:right w:type="dxa" w:w="90"/>
            </w:tcMar>
          </w:tcPr>
          <w:p>
            <w:pPr>
              <w:jc w:val="right"/>
            </w:pPr>
            <w:r>
              <w:rPr>
                <w:color w:val="222222"/>
                <w:sz w:val="19"/>
                <w:szCs w:val="19"/>
              </w:rPr>
              <w:t xml:space="preserve">78% of bookings</w:t>
            </w:r>
          </w:p>
        </w:tc>
        <w:tc>
          <w:tcPr>
            <w:tcW w:type="dxa" w:w="4560"/>
            <w:shd w:fill="FFFFFF" w:color="auto" w:val="clear"/>
            <w:tcMar>
              <w:top w:type="dxa" w:w="50"/>
              <w:left w:type="dxa" w:w="90"/>
              <w:bottom w:type="dxa" w:w="50"/>
              <w:right w:type="dxa" w:w="90"/>
            </w:tcMar>
          </w:tcPr>
          <w:p>
            <w:pPr>
              <w:jc w:val="right"/>
            </w:pPr>
            <w:r>
              <w:rPr>
                <w:color w:val="222222"/>
                <w:sz w:val="19"/>
                <w:szCs w:val="19"/>
              </w:rPr>
              <w:t xml:space="preserve">+17% YoY; RCS was 82% of Q4</w:t>
            </w:r>
          </w:p>
        </w:tc>
      </w:tr>
      <w:tr>
        <w:tc>
          <w:tcPr>
            <w:tcW w:type="dxa" w:w="2600"/>
            <w:shd w:fill="EEF2F7" w:color="auto" w:val="clear"/>
            <w:tcMar>
              <w:top w:type="dxa" w:w="50"/>
              <w:left w:type="dxa" w:w="90"/>
              <w:bottom w:type="dxa" w:w="50"/>
              <w:right w:type="dxa" w:w="90"/>
            </w:tcMar>
          </w:tcPr>
          <w:p>
            <w:pPr>
              <w:jc w:val="left"/>
            </w:pPr>
            <w:r>
              <w:rPr>
                <w:color w:val="222222"/>
                <w:sz w:val="19"/>
                <w:szCs w:val="19"/>
              </w:rPr>
              <w:t xml:space="preserve">Operating cash flow</w:t>
            </w:r>
          </w:p>
        </w:tc>
        <w:tc>
          <w:tcPr>
            <w:tcW w:type="dxa" w:w="1900"/>
            <w:shd w:fill="EEF2F7" w:color="auto" w:val="clear"/>
            <w:tcMar>
              <w:top w:type="dxa" w:w="50"/>
              <w:left w:type="dxa" w:w="90"/>
              <w:bottom w:type="dxa" w:w="50"/>
              <w:right w:type="dxa" w:w="90"/>
            </w:tcMar>
          </w:tcPr>
          <w:p>
            <w:pPr>
              <w:jc w:val="right"/>
            </w:pPr>
            <w:r>
              <w:rPr>
                <w:b/>
                <w:bCs/>
                <w:color w:val="1E6B3A"/>
                <w:sz w:val="19"/>
                <w:szCs w:val="19"/>
              </w:rPr>
              <w:t xml:space="preserve">$624.3M</w:t>
            </w:r>
          </w:p>
        </w:tc>
        <w:tc>
          <w:tcPr>
            <w:tcW w:type="dxa" w:w="4560"/>
            <w:shd w:fill="EEF2F7" w:color="auto" w:val="clear"/>
            <w:tcMar>
              <w:top w:type="dxa" w:w="50"/>
              <w:left w:type="dxa" w:w="90"/>
              <w:bottom w:type="dxa" w:w="50"/>
              <w:right w:type="dxa" w:w="90"/>
            </w:tcMar>
          </w:tcPr>
          <w:p>
            <w:pPr>
              <w:jc w:val="right"/>
            </w:pPr>
            <w:r>
              <w:rPr>
                <w:color w:val="222222"/>
                <w:sz w:val="19"/>
                <w:szCs w:val="19"/>
              </w:rPr>
              <w:t xml:space="preserve">vs. ~$450M forecast</w:t>
            </w:r>
          </w:p>
        </w:tc>
      </w:tr>
      <w:tr>
        <w:tc>
          <w:tcPr>
            <w:tcW w:type="dxa" w:w="2600"/>
            <w:shd w:fill="FFFFFF" w:color="auto" w:val="clear"/>
            <w:tcMar>
              <w:top w:type="dxa" w:w="50"/>
              <w:left w:type="dxa" w:w="90"/>
              <w:bottom w:type="dxa" w:w="50"/>
              <w:right w:type="dxa" w:w="90"/>
            </w:tcMar>
          </w:tcPr>
          <w:p>
            <w:pPr>
              <w:jc w:val="left"/>
            </w:pPr>
            <w:r>
              <w:rPr>
                <w:color w:val="222222"/>
                <w:sz w:val="19"/>
                <w:szCs w:val="19"/>
              </w:rPr>
              <w:t xml:space="preserve">Free cash flow (FY)</w:t>
            </w:r>
          </w:p>
        </w:tc>
        <w:tc>
          <w:tcPr>
            <w:tcW w:type="dxa" w:w="1900"/>
            <w:shd w:fill="FFFFFF" w:color="auto" w:val="clear"/>
            <w:tcMar>
              <w:top w:type="dxa" w:w="50"/>
              <w:left w:type="dxa" w:w="90"/>
              <w:bottom w:type="dxa" w:w="50"/>
              <w:right w:type="dxa" w:w="90"/>
            </w:tcMar>
          </w:tcPr>
          <w:p>
            <w:pPr>
              <w:jc w:val="right"/>
            </w:pPr>
            <w:r>
              <w:rPr>
                <w:b/>
                <w:bCs/>
                <w:color w:val="1E6B3A"/>
                <w:sz w:val="19"/>
                <w:szCs w:val="19"/>
              </w:rPr>
              <w:t xml:space="preserve">$434.1M</w:t>
            </w:r>
          </w:p>
        </w:tc>
        <w:tc>
          <w:tcPr>
            <w:tcW w:type="dxa" w:w="4560"/>
            <w:shd w:fill="FFFFFF" w:color="auto" w:val="clear"/>
            <w:tcMar>
              <w:top w:type="dxa" w:w="50"/>
              <w:left w:type="dxa" w:w="90"/>
              <w:bottom w:type="dxa" w:w="50"/>
              <w:right w:type="dxa" w:w="90"/>
            </w:tcMar>
          </w:tcPr>
          <w:p>
            <w:pPr>
              <w:jc w:val="right"/>
            </w:pPr>
            <w:r>
              <w:rPr>
                <w:color w:val="222222"/>
                <w:sz w:val="19"/>
                <w:szCs w:val="19"/>
              </w:rPr>
              <w:t xml:space="preserve">Already positive - inflection is about scale, not sign</w:t>
            </w:r>
          </w:p>
        </w:tc>
      </w:tr>
    </w:tbl>
    <w:p>
      <w:pPr>
        <w:spacing w:after="60"/>
      </w:pPr>
    </w:p>
    <w:p>
      <w:pPr>
        <w:spacing w:after="120" w:line="276"/>
      </w:pPr>
      <w:r>
        <w:rPr>
          <w:color w:val="222222"/>
          <w:sz w:val="21"/>
          <w:szCs w:val="21"/>
        </w:rPr>
        <w:t xml:space="preserve">Segment strength was broad: NBA 2K grew more than 30%, mobile rose 13%, and GTA Online grew 6% - all ahead of the company's initial May guidance. On mobile specifically, Toon Blast rose ~25% and Color Block Jam became the highest-grossing title in Rollic's history.</w:t>
      </w:r>
    </w:p>
    <w:p>
      <w:pPr>
        <w:spacing w:after="40" w:before="120"/>
        <w:jc w:val="center"/>
      </w:pPr>
      <w:r>
        <w:drawing>
          <wp:inline distT="0" distB="0" distL="0" distR="0">
            <wp:extent cx="5143500" cy="2628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143500" cy="2628900"/>
                    </a:xfrm>
                    <a:prstGeom prst="rect">
                      <a:avLst/>
                    </a:prstGeom>
                  </pic:spPr>
                </pic:pic>
              </a:graphicData>
            </a:graphic>
          </wp:inline>
        </w:drawing>
      </w:r>
    </w:p>
    <w:p>
      <w:pPr>
        <w:spacing w:after="120"/>
        <w:jc w:val="center"/>
      </w:pPr>
      <w:r>
        <w:rPr>
          <w:i/>
          <w:iCs/>
          <w:color w:val="5A5A5A"/>
          <w:sz w:val="15"/>
          <w:szCs w:val="15"/>
        </w:rPr>
        <w:t xml:space="preserve">Exhibit: Earnings deeply negative through the FY24-FY25 development/impairment trough, then a sharp recovery; revenue, operating cash flow and free cash flow all inflecting up. Actuals through FY2026; FY27-FY29 show analyst-forecast direction, not point estimates.</w:t>
      </w:r>
    </w:p>
    <w:p>
      <w:pPr>
        <w:pStyle w:val="Heading1"/>
        <w:pBdr>
          <w:bottom w:val="single" w:color="C9D4E0" w:sz="6" w:space="4"/>
        </w:pBdr>
        <w:spacing w:after="90" w:before="170"/>
      </w:pPr>
      <w:r>
        <w:rPr>
          <w:b/>
          <w:bCs/>
          <w:color w:val="1F3A5F"/>
          <w:sz w:val="28"/>
          <w:szCs w:val="28"/>
        </w:rPr>
        <w:t xml:space="preserve">FY2027 Guidance &amp; the GTA VI Catalyst</w:t>
      </w:r>
    </w:p>
    <w:p>
      <w:pPr>
        <w:spacing w:after="120" w:line="276"/>
      </w:pPr>
      <w:r>
        <w:rPr>
          <w:color w:val="222222"/>
          <w:sz w:val="21"/>
          <w:szCs w:val="21"/>
        </w:rPr>
        <w:t xml:space="preserve">Management frames fiscal 2027 as a breakout year. The FY27 guide of $8.0-$8.2B net bookings implies ~20% growth, and the arithmetic is instructive: </w:t>
      </w:r>
      <w:r>
        <w:rPr>
          <w:b/>
          <w:bCs/>
          <w:color w:val="222222"/>
          <w:sz w:val="21"/>
          <w:szCs w:val="21"/>
        </w:rPr>
        <w:t xml:space="preserve">the ~$1.3-$1.5B of incremental bookings essentially must come from GTA VI, since base-business growth is already embedded.</w:t>
      </w:r>
    </w:p>
    <w:p>
      <w:pPr>
        <w:spacing w:after="40" w:before="120"/>
        <w:jc w:val="center"/>
      </w:pPr>
      <w:r>
        <w:drawing>
          <wp:inline distT="0" distB="0" distL="0" distR="0">
            <wp:extent cx="4476750" cy="2724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476750" cy="2724150"/>
                    </a:xfrm>
                    <a:prstGeom prst="rect">
                      <a:avLst/>
                    </a:prstGeom>
                  </pic:spPr>
                </pic:pic>
              </a:graphicData>
            </a:graphic>
          </wp:inline>
        </w:drawing>
      </w:r>
    </w:p>
    <w:p>
      <w:pPr>
        <w:spacing w:after="140"/>
        <w:jc w:val="center"/>
      </w:pPr>
      <w:r>
        <w:rPr>
          <w:i/>
          <w:iCs/>
          <w:color w:val="5A5A5A"/>
          <w:sz w:val="15"/>
          <w:szCs w:val="15"/>
        </w:rPr>
        <w:t xml:space="preserve">Exhibit: Years of a roughly flat ~$5.3-$5.7B base, then the FY26 record and the guided ~20% FY27 step-up. FY27E shows the $8.0-$8.2B guidance range; base years are actuals.</w:t>
      </w:r>
    </w:p>
    <w:p>
      <w:pPr>
        <w:spacing w:after="120" w:line="276"/>
      </w:pPr>
      <w:r>
        <w:rPr>
          <w:color w:val="222222"/>
          <w:sz w:val="21"/>
          <w:szCs w:val="21"/>
        </w:rPr>
        <w:t xml:space="preserve">The launch quarter (December 2026, fiscal Q3) is where the story concentrates. Consensus points to roughly $3.28B of revenue in that quarter - an ~86% YoY jump - with EBITDA margins expanding toward the high-20s from ~19% a year earlier, and adjusted EPS stepping to roughly $3.84 in the launch quarter alone.</w:t>
      </w:r>
    </w:p>
    <w:p>
      <w:pPr>
        <w:spacing w:after="60" w:line="276"/>
      </w:pPr>
      <w:r>
        <w:rPr>
          <w:color w:val="222222"/>
          <w:sz w:val="21"/>
          <w:szCs w:val="21"/>
        </w:rPr>
        <w:t xml:space="preserve">One important caveat: the $8.0-$8.2B guide landed </w:t>
      </w:r>
      <w:r>
        <w:rPr>
          <w:i/>
          <w:iCs/>
          <w:color w:val="222222"/>
          <w:sz w:val="21"/>
          <w:szCs w:val="21"/>
        </w:rPr>
        <w:t xml:space="preserve">below</w:t>
      </w:r>
      <w:r>
        <w:rPr>
          <w:color w:val="222222"/>
          <w:sz w:val="21"/>
          <w:szCs w:val="21"/>
        </w:rPr>
        <w:t xml:space="preserve"> the Street's ~$9.1B expectation, and the stock fell on the print despite a quarterly beat. CEO Strauss Zelnick pushed back - noting this was the first guidance given to the Street and that the company habitually exceeds its own numbers - and Morgan Stanley (Overweight, $280) echoed Take-Two's long record of conservative forecasting. The guide implies roughly 31-40 million GTA VI units in FY27. Read charitably it is a sandbag; read skeptically it reflects that the online annuity is not yet contributing. FY27 is still expected to post a GAAP net loss.</w:t>
      </w:r>
    </w:p>
    <w:p>
      <w:pPr>
        <w:pStyle w:val="Heading1"/>
        <w:pBdr>
          <w:bottom w:val="single" w:color="C9D4E0" w:sz="6" w:space="4"/>
        </w:pBdr>
        <w:spacing w:after="90" w:before="170"/>
      </w:pPr>
      <w:r>
        <w:rPr>
          <w:b/>
          <w:bCs/>
          <w:color w:val="1F3A5F"/>
          <w:sz w:val="28"/>
          <w:szCs w:val="28"/>
        </w:rPr>
        <w:t xml:space="preserve">GTA VI: A Staggered Catalyst Timeline</w:t>
      </w:r>
    </w:p>
    <w:p>
      <w:pPr>
        <w:spacing w:after="120" w:line="276"/>
      </w:pPr>
      <w:r>
        <w:rPr>
          <w:color w:val="222222"/>
          <w:sz w:val="21"/>
          <w:szCs w:val="21"/>
        </w:rPr>
        <w:t xml:space="preserve">A recent structural disclosure reshapes how to model GTA VI. Rockstar has confirmed the game ships as a </w:t>
      </w:r>
      <w:r>
        <w:rPr>
          <w:b/>
          <w:bCs/>
          <w:color w:val="222222"/>
          <w:sz w:val="21"/>
          <w:szCs w:val="21"/>
        </w:rPr>
        <w:t xml:space="preserve">single-player-only experience on November 19, 2026, with no GTA Online mode at launch and no announced timeline for one.</w:t>
      </w:r>
      <w:r>
        <w:rPr>
          <w:color w:val="222222"/>
          <w:sz w:val="21"/>
          <w:szCs w:val="21"/>
        </w:rPr>
        <w:t xml:space="preserve"> Distribution is digital-first - even the "physical" edition is a download code in a box, not a disc. This follows Rockstar's own precedent (GTA Online arrived two weeks after GTA V; Red Dead Online came later still), but the separation is now explicit.</w:t>
      </w:r>
    </w:p>
    <w:p>
      <w:pPr>
        <w:spacing w:after="120" w:line="276"/>
      </w:pPr>
      <w:r>
        <w:rPr>
          <w:color w:val="222222"/>
          <w:sz w:val="21"/>
          <w:szCs w:val="21"/>
        </w:rPr>
        <w:t xml:space="preserve">The practical consequence: GTA VI is not one event but a sequence of distinct, differently-priced catalysts spread over multiple years. FY27 captures only the first of them.</w:t>
      </w:r>
    </w:p>
    <w:tbl>
      <w:tblPr>
        <w:tblW w:type="dxa" w:w="9060"/>
        <w:tblBorders>
          <w:top w:val="single" w:color="C9D4E0" w:sz="2"/>
          <w:left w:val="none"/>
          <w:bottom w:val="single" w:color="C9D4E0" w:sz="2"/>
          <w:right w:val="none"/>
          <w:insideH w:val="single" w:color="C9D4E0" w:sz="1"/>
          <w:insideV w:val="none"/>
        </w:tblBorders>
      </w:tblPr>
      <w:tblGrid>
        <w:gridCol w:w="2500"/>
        <w:gridCol w:w="4900"/>
        <w:gridCol w:w="1660"/>
      </w:tblGrid>
      <w:tr>
        <w:trPr>
          <w:tblHeader/>
        </w:trPr>
        <w:tc>
          <w:tcPr>
            <w:tcW w:type="dxa" w:w="2500"/>
            <w:shd w:fill="1F3A5F" w:color="auto" w:val="clear"/>
            <w:tcMar>
              <w:top w:type="dxa" w:w="60"/>
              <w:left w:type="dxa" w:w="90"/>
              <w:bottom w:type="dxa" w:w="60"/>
              <w:right w:type="dxa" w:w="90"/>
            </w:tcMar>
          </w:tcPr>
          <w:p>
            <w:pPr>
              <w:jc w:val="left"/>
            </w:pPr>
            <w:r>
              <w:rPr>
                <w:b/>
                <w:bCs/>
                <w:color w:val="FFFFFF"/>
                <w:sz w:val="19"/>
                <w:szCs w:val="19"/>
              </w:rPr>
              <w:t xml:space="preserve">Catalyst (in sequence)</w:t>
            </w:r>
          </w:p>
        </w:tc>
        <w:tc>
          <w:tcPr>
            <w:tcW w:type="dxa" w:w="4900"/>
            <w:shd w:fill="1F3A5F" w:color="auto" w:val="clear"/>
            <w:tcMar>
              <w:top w:type="dxa" w:w="60"/>
              <w:left w:type="dxa" w:w="90"/>
              <w:bottom w:type="dxa" w:w="60"/>
              <w:right w:type="dxa" w:w="90"/>
            </w:tcMar>
          </w:tcPr>
          <w:p>
            <w:pPr>
              <w:jc w:val="right"/>
            </w:pPr>
            <w:r>
              <w:rPr>
                <w:b/>
                <w:bCs/>
                <w:color w:val="FFFFFF"/>
                <w:sz w:val="19"/>
                <w:szCs w:val="19"/>
              </w:rPr>
              <w:t xml:space="preserve">Detail</w:t>
            </w:r>
          </w:p>
        </w:tc>
        <w:tc>
          <w:tcPr>
            <w:tcW w:type="dxa" w:w="1660"/>
            <w:shd w:fill="1F3A5F" w:color="auto" w:val="clear"/>
            <w:tcMar>
              <w:top w:type="dxa" w:w="60"/>
              <w:left w:type="dxa" w:w="90"/>
              <w:bottom w:type="dxa" w:w="60"/>
              <w:right w:type="dxa" w:w="90"/>
            </w:tcMar>
          </w:tcPr>
          <w:p>
            <w:pPr>
              <w:jc w:val="right"/>
            </w:pPr>
            <w:r>
              <w:rPr>
                <w:b/>
                <w:bCs/>
                <w:color w:val="FFFFFF"/>
                <w:sz w:val="19"/>
                <w:szCs w:val="19"/>
              </w:rPr>
              <w:t xml:space="preserve">Timing</w:t>
            </w:r>
          </w:p>
        </w:tc>
      </w:tr>
      <w:tr>
        <w:tc>
          <w:tcPr>
            <w:tcW w:type="dxa" w:w="2500"/>
            <w:shd w:fill="FFFFFF" w:color="auto" w:val="clear"/>
            <w:tcMar>
              <w:top w:type="dxa" w:w="50"/>
              <w:left w:type="dxa" w:w="90"/>
              <w:bottom w:type="dxa" w:w="50"/>
              <w:right w:type="dxa" w:w="90"/>
            </w:tcMar>
          </w:tcPr>
          <w:p>
            <w:pPr>
              <w:jc w:val="left"/>
            </w:pPr>
            <w:r>
              <w:rPr>
                <w:color w:val="222222"/>
                <w:sz w:val="19"/>
                <w:szCs w:val="19"/>
              </w:rPr>
              <w:t xml:space="preserve">1. Single-player launch</w:t>
            </w:r>
          </w:p>
        </w:tc>
        <w:tc>
          <w:tcPr>
            <w:tcW w:type="dxa" w:w="4900"/>
            <w:shd w:fill="FFFFFF" w:color="auto" w:val="clear"/>
            <w:tcMar>
              <w:top w:type="dxa" w:w="50"/>
              <w:left w:type="dxa" w:w="90"/>
              <w:bottom w:type="dxa" w:w="50"/>
              <w:right w:type="dxa" w:w="90"/>
            </w:tcMar>
          </w:tcPr>
          <w:p>
            <w:pPr>
              <w:jc w:val="right"/>
            </w:pPr>
            <w:r>
              <w:rPr>
                <w:color w:val="222222"/>
                <w:sz w:val="19"/>
                <w:szCs w:val="19"/>
              </w:rPr>
              <w:t xml:space="preserve">Std. $79.99 / Ultimate $99.99; ~31-40M units implied by guidance</w:t>
            </w:r>
          </w:p>
        </w:tc>
        <w:tc>
          <w:tcPr>
            <w:tcW w:type="dxa" w:w="1660"/>
            <w:shd w:fill="FFFFFF" w:color="auto" w:val="clear"/>
            <w:tcMar>
              <w:top w:type="dxa" w:w="50"/>
              <w:left w:type="dxa" w:w="90"/>
              <w:bottom w:type="dxa" w:w="50"/>
              <w:right w:type="dxa" w:w="90"/>
            </w:tcMar>
          </w:tcPr>
          <w:p>
            <w:pPr>
              <w:jc w:val="right"/>
            </w:pPr>
            <w:r>
              <w:rPr>
                <w:color w:val="222222"/>
                <w:sz w:val="19"/>
                <w:szCs w:val="19"/>
              </w:rPr>
              <w:t xml:space="preserve">Nov 19, 2026 (FY27)</w:t>
            </w:r>
          </w:p>
        </w:tc>
      </w:tr>
      <w:tr>
        <w:tc>
          <w:tcPr>
            <w:tcW w:type="dxa" w:w="2500"/>
            <w:shd w:fill="EEF2F7" w:color="auto" w:val="clear"/>
            <w:tcMar>
              <w:top w:type="dxa" w:w="50"/>
              <w:left w:type="dxa" w:w="90"/>
              <w:bottom w:type="dxa" w:w="50"/>
              <w:right w:type="dxa" w:w="90"/>
            </w:tcMar>
          </w:tcPr>
          <w:p>
            <w:pPr>
              <w:jc w:val="left"/>
            </w:pPr>
            <w:r>
              <w:rPr>
                <w:color w:val="222222"/>
                <w:sz w:val="19"/>
                <w:szCs w:val="19"/>
              </w:rPr>
              <w:t xml:space="preserve">2. Physical / continued sales</w:t>
            </w:r>
          </w:p>
        </w:tc>
        <w:tc>
          <w:tcPr>
            <w:tcW w:type="dxa" w:w="4900"/>
            <w:shd w:fill="EEF2F7" w:color="auto" w:val="clear"/>
            <w:tcMar>
              <w:top w:type="dxa" w:w="50"/>
              <w:left w:type="dxa" w:w="90"/>
              <w:bottom w:type="dxa" w:w="50"/>
              <w:right w:type="dxa" w:w="90"/>
            </w:tcMar>
          </w:tcPr>
          <w:p>
            <w:pPr>
              <w:jc w:val="right"/>
            </w:pPr>
            <w:r>
              <w:rPr>
                <w:color w:val="222222"/>
                <w:sz w:val="19"/>
                <w:szCs w:val="19"/>
              </w:rPr>
              <w:t xml:space="preserve">Download-code boxes; long-tail unit sales</w:t>
            </w:r>
          </w:p>
        </w:tc>
        <w:tc>
          <w:tcPr>
            <w:tcW w:type="dxa" w:w="1660"/>
            <w:shd w:fill="EEF2F7" w:color="auto" w:val="clear"/>
            <w:tcMar>
              <w:top w:type="dxa" w:w="50"/>
              <w:left w:type="dxa" w:w="90"/>
              <w:bottom w:type="dxa" w:w="50"/>
              <w:right w:type="dxa" w:w="90"/>
            </w:tcMar>
          </w:tcPr>
          <w:p>
            <w:pPr>
              <w:jc w:val="right"/>
            </w:pPr>
            <w:r>
              <w:rPr>
                <w:color w:val="222222"/>
                <w:sz w:val="19"/>
                <w:szCs w:val="19"/>
              </w:rPr>
              <w:t xml:space="preserve">FY27-FY28</w:t>
            </w:r>
          </w:p>
        </w:tc>
      </w:tr>
      <w:tr>
        <w:tc>
          <w:tcPr>
            <w:tcW w:type="dxa" w:w="2500"/>
            <w:shd w:fill="FFFFFF" w:color="auto" w:val="clear"/>
            <w:tcMar>
              <w:top w:type="dxa" w:w="50"/>
              <w:left w:type="dxa" w:w="90"/>
              <w:bottom w:type="dxa" w:w="50"/>
              <w:right w:type="dxa" w:w="90"/>
            </w:tcMar>
          </w:tcPr>
          <w:p>
            <w:pPr>
              <w:jc w:val="left"/>
            </w:pPr>
            <w:r>
              <w:rPr>
                <w:color w:val="222222"/>
                <w:sz w:val="19"/>
                <w:szCs w:val="19"/>
              </w:rPr>
              <w:t xml:space="preserve">3. GTA Online successor</w:t>
            </w:r>
          </w:p>
        </w:tc>
        <w:tc>
          <w:tcPr>
            <w:tcW w:type="dxa" w:w="4900"/>
            <w:shd w:fill="FFFFFF" w:color="auto" w:val="clear"/>
            <w:tcMar>
              <w:top w:type="dxa" w:w="50"/>
              <w:left w:type="dxa" w:w="90"/>
              <w:bottom w:type="dxa" w:w="50"/>
              <w:right w:type="dxa" w:w="90"/>
            </w:tcMar>
          </w:tcPr>
          <w:p>
            <w:pPr>
              <w:jc w:val="right"/>
            </w:pPr>
            <w:r>
              <w:rPr>
                <w:color w:val="222222"/>
                <w:sz w:val="19"/>
                <w:szCs w:val="19"/>
              </w:rPr>
              <w:t xml:space="preserve">Recurring monetization; BofA bull case assumes Fortnite-level spend</w:t>
            </w:r>
          </w:p>
        </w:tc>
        <w:tc>
          <w:tcPr>
            <w:tcW w:type="dxa" w:w="1660"/>
            <w:shd w:fill="FFFFFF" w:color="auto" w:val="clear"/>
            <w:tcMar>
              <w:top w:type="dxa" w:w="50"/>
              <w:left w:type="dxa" w:w="90"/>
              <w:bottom w:type="dxa" w:w="50"/>
              <w:right w:type="dxa" w:w="90"/>
            </w:tcMar>
          </w:tcPr>
          <w:p>
            <w:pPr>
              <w:jc w:val="right"/>
            </w:pPr>
            <w:r>
              <w:rPr>
                <w:color w:val="222222"/>
                <w:sz w:val="19"/>
                <w:szCs w:val="19"/>
              </w:rPr>
              <w:t xml:space="preserve">Unannounced - likely FY28+</w:t>
            </w:r>
          </w:p>
        </w:tc>
      </w:tr>
      <w:tr>
        <w:tc>
          <w:tcPr>
            <w:tcW w:type="dxa" w:w="2500"/>
            <w:shd w:fill="EEF2F7" w:color="auto" w:val="clear"/>
            <w:tcMar>
              <w:top w:type="dxa" w:w="50"/>
              <w:left w:type="dxa" w:w="90"/>
              <w:bottom w:type="dxa" w:w="50"/>
              <w:right w:type="dxa" w:w="90"/>
            </w:tcMar>
          </w:tcPr>
          <w:p>
            <w:pPr>
              <w:jc w:val="left"/>
            </w:pPr>
            <w:r>
              <w:rPr>
                <w:color w:val="222222"/>
                <w:sz w:val="19"/>
                <w:szCs w:val="19"/>
              </w:rPr>
              <w:t xml:space="preserve">4. PC version</w:t>
            </w:r>
          </w:p>
        </w:tc>
        <w:tc>
          <w:tcPr>
            <w:tcW w:type="dxa" w:w="4900"/>
            <w:shd w:fill="EEF2F7" w:color="auto" w:val="clear"/>
            <w:tcMar>
              <w:top w:type="dxa" w:w="50"/>
              <w:left w:type="dxa" w:w="90"/>
              <w:bottom w:type="dxa" w:w="50"/>
              <w:right w:type="dxa" w:w="90"/>
            </w:tcMar>
          </w:tcPr>
          <w:p>
            <w:pPr>
              <w:jc w:val="right"/>
            </w:pPr>
            <w:r>
              <w:rPr>
                <w:color w:val="222222"/>
                <w:sz w:val="19"/>
                <w:szCs w:val="19"/>
              </w:rPr>
              <w:t xml:space="preserve">Not modeled in any published target as of mid-2026</w:t>
            </w:r>
          </w:p>
        </w:tc>
        <w:tc>
          <w:tcPr>
            <w:tcW w:type="dxa" w:w="1660"/>
            <w:shd w:fill="EEF2F7" w:color="auto" w:val="clear"/>
            <w:tcMar>
              <w:top w:type="dxa" w:w="50"/>
              <w:left w:type="dxa" w:w="90"/>
              <w:bottom w:type="dxa" w:w="50"/>
              <w:right w:type="dxa" w:w="90"/>
            </w:tcMar>
          </w:tcPr>
          <w:p>
            <w:pPr>
              <w:jc w:val="right"/>
            </w:pPr>
            <w:r>
              <w:rPr>
                <w:color w:val="222222"/>
                <w:sz w:val="19"/>
                <w:szCs w:val="19"/>
              </w:rPr>
              <w:t xml:space="preserve">Later (unpriced)</w:t>
            </w:r>
          </w:p>
        </w:tc>
      </w:tr>
    </w:tbl>
    <w:p>
      <w:pPr>
        <w:spacing w:after="60"/>
      </w:pPr>
    </w:p>
    <w:p>
      <w:pPr>
        <w:spacing w:after="120" w:line="276"/>
      </w:pPr>
      <w:r>
        <w:rPr>
          <w:color w:val="222222"/>
          <w:sz w:val="21"/>
          <w:szCs w:val="21"/>
        </w:rPr>
        <w:t xml:space="preserve">This staggering is a double-edged sword. On one hand it lets Take-Two "double-dip," spreading major revenue beats across years and sustaining engagement - and it de-risks the launch from the server-collapse chaos that marred GTA Online's 2013 debut. </w:t>
      </w:r>
      <w:r>
        <w:rPr>
          <w:b/>
          <w:bCs/>
          <w:color w:val="222222"/>
          <w:sz w:val="21"/>
          <w:szCs w:val="21"/>
        </w:rPr>
        <w:t xml:space="preserve">On the other, it pushes the highest-value driver - the recurring online economy - out of FY27 entirely, which is precisely why near-term revenue leans on one-off unit sales and why the FY27 guide looks conservative.</w:t>
      </w:r>
    </w:p>
    <w:p>
      <w:pPr>
        <w:spacing w:after="60" w:line="276"/>
      </w:pPr>
      <w:r>
        <w:rPr>
          <w:color w:val="222222"/>
          <w:sz w:val="21"/>
          <w:szCs w:val="21"/>
        </w:rPr>
        <w:t xml:space="preserve">Early demand for the single-player release has still been extraordinary: one French retailer reported roughly six times more pre-orders in the first 24 hours than a typical Call of Duty or EA Sports FC window, with some batches selling out within an hour. Yet the stock dipped on that news - consistent with the view that launch-week unit enthusiasm is already priced, and the marginal buyer is underwriting later catalysts, not November.</w:t>
      </w:r>
    </w:p>
    <w:p>
      <w:pPr>
        <w:pStyle w:val="Heading1"/>
        <w:pBdr>
          <w:bottom w:val="single" w:color="C9D4E0" w:sz="6" w:space="4"/>
        </w:pBdr>
        <w:spacing w:after="90" w:before="170"/>
      </w:pPr>
      <w:r>
        <w:rPr>
          <w:b/>
          <w:bCs/>
          <w:color w:val="1F3A5F"/>
          <w:sz w:val="28"/>
          <w:szCs w:val="28"/>
        </w:rPr>
        <w:t xml:space="preserve">Product Pipeline (FY27-FY29)</w:t>
      </w:r>
    </w:p>
    <w:p>
      <w:pPr>
        <w:spacing w:after="120" w:line="276"/>
      </w:pPr>
      <w:r>
        <w:rPr>
          <w:color w:val="222222"/>
          <w:sz w:val="21"/>
          <w:szCs w:val="21"/>
        </w:rPr>
        <w:t xml:space="preserve">GTA VI headlines a genuinely deep multi-year slate. Management outlined 29 titles across FY27-FY29, of which seven land in FY27 alongside GTA VI, and 22 fill FY28-FY29 (including six remakes/remasters). This is described as the most robust pipeline in the company's history.</w:t>
      </w:r>
    </w:p>
    <w:tbl>
      <w:tblPr>
        <w:tblW w:type="dxa" w:w="9060"/>
        <w:tblBorders>
          <w:top w:val="single" w:color="C9D4E0" w:sz="2"/>
          <w:left w:val="none"/>
          <w:bottom w:val="single" w:color="C9D4E0" w:sz="2"/>
          <w:right w:val="none"/>
          <w:insideH w:val="single" w:color="C9D4E0" w:sz="1"/>
          <w:insideV w:val="none"/>
        </w:tblBorders>
      </w:tblPr>
      <w:tblGrid>
        <w:gridCol w:w="1700"/>
        <w:gridCol w:w="5400"/>
        <w:gridCol w:w="1960"/>
      </w:tblGrid>
      <w:tr>
        <w:trPr>
          <w:tblHeader/>
        </w:trPr>
        <w:tc>
          <w:tcPr>
            <w:tcW w:type="dxa" w:w="1700"/>
            <w:shd w:fill="1F3A5F" w:color="auto" w:val="clear"/>
            <w:tcMar>
              <w:top w:type="dxa" w:w="60"/>
              <w:left w:type="dxa" w:w="90"/>
              <w:bottom w:type="dxa" w:w="60"/>
              <w:right w:type="dxa" w:w="90"/>
            </w:tcMar>
          </w:tcPr>
          <w:p>
            <w:pPr>
              <w:jc w:val="left"/>
            </w:pPr>
            <w:r>
              <w:rPr>
                <w:b/>
                <w:bCs/>
                <w:color w:val="FFFFFF"/>
                <w:sz w:val="19"/>
                <w:szCs w:val="19"/>
              </w:rPr>
              <w:t xml:space="preserve">Window</w:t>
            </w:r>
          </w:p>
        </w:tc>
        <w:tc>
          <w:tcPr>
            <w:tcW w:type="dxa" w:w="5400"/>
            <w:shd w:fill="1F3A5F" w:color="auto" w:val="clear"/>
            <w:tcMar>
              <w:top w:type="dxa" w:w="60"/>
              <w:left w:type="dxa" w:w="90"/>
              <w:bottom w:type="dxa" w:w="60"/>
              <w:right w:type="dxa" w:w="90"/>
            </w:tcMar>
          </w:tcPr>
          <w:p>
            <w:pPr>
              <w:jc w:val="right"/>
            </w:pPr>
            <w:r>
              <w:rPr>
                <w:b/>
                <w:bCs/>
                <w:color w:val="FFFFFF"/>
                <w:sz w:val="19"/>
                <w:szCs w:val="19"/>
              </w:rPr>
              <w:t xml:space="preserve">Selected titles</w:t>
            </w:r>
          </w:p>
        </w:tc>
        <w:tc>
          <w:tcPr>
            <w:tcW w:type="dxa" w:w="1960"/>
            <w:shd w:fill="1F3A5F" w:color="auto" w:val="clear"/>
            <w:tcMar>
              <w:top w:type="dxa" w:w="60"/>
              <w:left w:type="dxa" w:w="90"/>
              <w:bottom w:type="dxa" w:w="60"/>
              <w:right w:type="dxa" w:w="90"/>
            </w:tcMar>
          </w:tcPr>
          <w:p>
            <w:pPr>
              <w:jc w:val="right"/>
            </w:pPr>
            <w:r>
              <w:rPr>
                <w:b/>
                <w:bCs/>
                <w:color w:val="FFFFFF"/>
                <w:sz w:val="19"/>
                <w:szCs w:val="19"/>
              </w:rPr>
              <w:t xml:space="preserve">Note</w:t>
            </w:r>
          </w:p>
        </w:tc>
      </w:tr>
      <w:tr>
        <w:tc>
          <w:tcPr>
            <w:tcW w:type="dxa" w:w="1700"/>
            <w:shd w:fill="FFFFFF" w:color="auto" w:val="clear"/>
            <w:tcMar>
              <w:top w:type="dxa" w:w="50"/>
              <w:left w:type="dxa" w:w="90"/>
              <w:bottom w:type="dxa" w:w="50"/>
              <w:right w:type="dxa" w:w="90"/>
            </w:tcMar>
          </w:tcPr>
          <w:p>
            <w:pPr>
              <w:jc w:val="left"/>
            </w:pPr>
            <w:r>
              <w:rPr>
                <w:color w:val="222222"/>
                <w:sz w:val="19"/>
                <w:szCs w:val="19"/>
              </w:rPr>
              <w:t xml:space="preserve">Already shipped</w:t>
            </w:r>
          </w:p>
        </w:tc>
        <w:tc>
          <w:tcPr>
            <w:tcW w:type="dxa" w:w="5400"/>
            <w:shd w:fill="FFFFFF" w:color="auto" w:val="clear"/>
            <w:tcMar>
              <w:top w:type="dxa" w:w="50"/>
              <w:left w:type="dxa" w:w="90"/>
              <w:bottom w:type="dxa" w:w="50"/>
              <w:right w:type="dxa" w:w="90"/>
            </w:tcMar>
          </w:tcPr>
          <w:p>
            <w:pPr>
              <w:jc w:val="right"/>
            </w:pPr>
            <w:r>
              <w:rPr>
                <w:color w:val="222222"/>
                <w:sz w:val="19"/>
                <w:szCs w:val="19"/>
              </w:rPr>
              <w:t xml:space="preserve">Mafia: The Old Country (Aug '25), Borderlands 4 (Sep '25)</w:t>
            </w:r>
          </w:p>
        </w:tc>
        <w:tc>
          <w:tcPr>
            <w:tcW w:type="dxa" w:w="1960"/>
            <w:shd w:fill="FFFFFF" w:color="auto" w:val="clear"/>
            <w:tcMar>
              <w:top w:type="dxa" w:w="50"/>
              <w:left w:type="dxa" w:w="90"/>
              <w:bottom w:type="dxa" w:w="50"/>
              <w:right w:type="dxa" w:w="90"/>
            </w:tcMar>
          </w:tcPr>
          <w:p>
            <w:pPr>
              <w:jc w:val="right"/>
            </w:pPr>
            <w:r>
              <w:rPr>
                <w:color w:val="222222"/>
                <w:sz w:val="19"/>
                <w:szCs w:val="19"/>
              </w:rPr>
              <w:t xml:space="preserve">Strong critical reception</w:t>
            </w:r>
          </w:p>
        </w:tc>
      </w:tr>
      <w:tr>
        <w:tc>
          <w:tcPr>
            <w:tcW w:type="dxa" w:w="1700"/>
            <w:shd w:fill="EEF2F7" w:color="auto" w:val="clear"/>
            <w:tcMar>
              <w:top w:type="dxa" w:w="50"/>
              <w:left w:type="dxa" w:w="90"/>
              <w:bottom w:type="dxa" w:w="50"/>
              <w:right w:type="dxa" w:w="90"/>
            </w:tcMar>
          </w:tcPr>
          <w:p>
            <w:pPr>
              <w:jc w:val="left"/>
            </w:pPr>
            <w:r>
              <w:rPr>
                <w:color w:val="222222"/>
                <w:sz w:val="19"/>
                <w:szCs w:val="19"/>
              </w:rPr>
              <w:t xml:space="preserve">FY27</w:t>
            </w:r>
          </w:p>
        </w:tc>
        <w:tc>
          <w:tcPr>
            <w:tcW w:type="dxa" w:w="5400"/>
            <w:shd w:fill="EEF2F7" w:color="auto" w:val="clear"/>
            <w:tcMar>
              <w:top w:type="dxa" w:w="50"/>
              <w:left w:type="dxa" w:w="90"/>
              <w:bottom w:type="dxa" w:w="50"/>
              <w:right w:type="dxa" w:w="90"/>
            </w:tcMar>
          </w:tcPr>
          <w:p>
            <w:pPr>
              <w:jc w:val="right"/>
            </w:pPr>
            <w:r>
              <w:rPr>
                <w:color w:val="222222"/>
                <w:sz w:val="19"/>
                <w:szCs w:val="19"/>
              </w:rPr>
              <w:t xml:space="preserve">GTA VI, NBA 2K27, WWE 2K27, PGA TOUR 2K27, CSR 3, Judas, Project ETHOS</w:t>
            </w:r>
          </w:p>
        </w:tc>
        <w:tc>
          <w:tcPr>
            <w:tcW w:type="dxa" w:w="1960"/>
            <w:shd w:fill="EEF2F7" w:color="auto" w:val="clear"/>
            <w:tcMar>
              <w:top w:type="dxa" w:w="50"/>
              <w:left w:type="dxa" w:w="90"/>
              <w:bottom w:type="dxa" w:w="50"/>
              <w:right w:type="dxa" w:w="90"/>
            </w:tcMar>
          </w:tcPr>
          <w:p>
            <w:pPr>
              <w:jc w:val="right"/>
            </w:pPr>
            <w:r>
              <w:rPr>
                <w:color w:val="222222"/>
                <w:sz w:val="19"/>
                <w:szCs w:val="19"/>
              </w:rPr>
              <w:t xml:space="preserve">7 titles + GTA VI</w:t>
            </w:r>
          </w:p>
        </w:tc>
      </w:tr>
      <w:tr>
        <w:tc>
          <w:tcPr>
            <w:tcW w:type="dxa" w:w="1700"/>
            <w:shd w:fill="FFFFFF" w:color="auto" w:val="clear"/>
            <w:tcMar>
              <w:top w:type="dxa" w:w="50"/>
              <w:left w:type="dxa" w:w="90"/>
              <w:bottom w:type="dxa" w:w="50"/>
              <w:right w:type="dxa" w:w="90"/>
            </w:tcMar>
          </w:tcPr>
          <w:p>
            <w:pPr>
              <w:jc w:val="left"/>
            </w:pPr>
            <w:r>
              <w:rPr>
                <w:color w:val="222222"/>
                <w:sz w:val="19"/>
                <w:szCs w:val="19"/>
              </w:rPr>
              <w:t xml:space="preserve">FY28-FY29</w:t>
            </w:r>
          </w:p>
        </w:tc>
        <w:tc>
          <w:tcPr>
            <w:tcW w:type="dxa" w:w="5400"/>
            <w:shd w:fill="FFFFFF" w:color="auto" w:val="clear"/>
            <w:tcMar>
              <w:top w:type="dxa" w:w="50"/>
              <w:left w:type="dxa" w:w="90"/>
              <w:bottom w:type="dxa" w:w="50"/>
              <w:right w:type="dxa" w:w="90"/>
            </w:tcMar>
          </w:tcPr>
          <w:p>
            <w:pPr>
              <w:jc w:val="right"/>
            </w:pPr>
            <w:r>
              <w:rPr>
                <w:color w:val="222222"/>
                <w:sz w:val="19"/>
                <w:szCs w:val="19"/>
              </w:rPr>
              <w:t xml:space="preserve">22 titles incl. 6 remakes/remasters; Max Payne 1+2 remake (Remedy)</w:t>
            </w:r>
          </w:p>
        </w:tc>
        <w:tc>
          <w:tcPr>
            <w:tcW w:type="dxa" w:w="1960"/>
            <w:shd w:fill="FFFFFF" w:color="auto" w:val="clear"/>
            <w:tcMar>
              <w:top w:type="dxa" w:w="50"/>
              <w:left w:type="dxa" w:w="90"/>
              <w:bottom w:type="dxa" w:w="50"/>
              <w:right w:type="dxa" w:w="90"/>
            </w:tcMar>
          </w:tcPr>
          <w:p>
            <w:pPr>
              <w:jc w:val="right"/>
            </w:pPr>
            <w:r>
              <w:rPr>
                <w:color w:val="222222"/>
                <w:sz w:val="19"/>
                <w:szCs w:val="19"/>
              </w:rPr>
              <w:t xml:space="preserve">Potential GTA VI PC extension</w:t>
            </w:r>
          </w:p>
        </w:tc>
      </w:tr>
    </w:tbl>
    <w:p>
      <w:pPr>
        <w:spacing w:after="60"/>
      </w:pPr>
    </w:p>
    <w:p>
      <w:pPr>
        <w:spacing w:after="60" w:line="276"/>
      </w:pPr>
      <w:r>
        <w:rPr>
          <w:color w:val="222222"/>
          <w:sz w:val="21"/>
          <w:szCs w:val="21"/>
        </w:rPr>
        <w:t xml:space="preserve">The remake/remaster layer (Max Payne via original developer Remedy; likely Mafia and legacy Rockstar catalog work) is a lower-risk, higher-margin complement that helps fill the post-GTA-VI years - addressing the classic "what comes after the big release?" concern.</w:t>
      </w:r>
    </w:p>
    <w:p>
      <w:pPr>
        <w:pStyle w:val="Heading1"/>
        <w:pBdr>
          <w:bottom w:val="single" w:color="C9D4E0" w:sz="6" w:space="4"/>
        </w:pBdr>
        <w:spacing w:after="90" w:before="170"/>
      </w:pPr>
      <w:r>
        <w:rPr>
          <w:b/>
          <w:bCs/>
          <w:color w:val="1F3A5F"/>
          <w:sz w:val="28"/>
          <w:szCs w:val="28"/>
        </w:rPr>
        <w:t xml:space="preserve">Balance Sheet &amp; Financial Health</w:t>
      </w:r>
    </w:p>
    <w:tbl>
      <w:tblPr>
        <w:tblW w:type="dxa" w:w="8760"/>
        <w:tblBorders>
          <w:top w:val="single" w:color="C9D4E0" w:sz="2"/>
          <w:left w:val="none"/>
          <w:bottom w:val="single" w:color="C9D4E0" w:sz="2"/>
          <w:right w:val="none"/>
          <w:insideH w:val="single" w:color="C9D4E0" w:sz="1"/>
          <w:insideV w:val="none"/>
        </w:tblBorders>
      </w:tblPr>
      <w:tblGrid>
        <w:gridCol w:w="2400"/>
        <w:gridCol w:w="2100"/>
        <w:gridCol w:w="4260"/>
      </w:tblGrid>
      <w:tr>
        <w:trPr>
          <w:tblHeader/>
        </w:trPr>
        <w:tc>
          <w:tcPr>
            <w:tcW w:type="dxa" w:w="2400"/>
            <w:shd w:fill="1F3A5F" w:color="auto" w:val="clear"/>
            <w:tcMar>
              <w:top w:type="dxa" w:w="60"/>
              <w:left w:type="dxa" w:w="90"/>
              <w:bottom w:type="dxa" w:w="60"/>
              <w:right w:type="dxa" w:w="90"/>
            </w:tcMar>
          </w:tcPr>
          <w:p>
            <w:pPr>
              <w:jc w:val="left"/>
            </w:pPr>
            <w:r>
              <w:rPr>
                <w:b/>
                <w:bCs/>
                <w:color w:val="FFFFFF"/>
                <w:sz w:val="19"/>
                <w:szCs w:val="19"/>
              </w:rPr>
              <w:t xml:space="preserve">Item</w:t>
            </w:r>
          </w:p>
        </w:tc>
        <w:tc>
          <w:tcPr>
            <w:tcW w:type="dxa" w:w="2100"/>
            <w:shd w:fill="1F3A5F" w:color="auto" w:val="clear"/>
            <w:tcMar>
              <w:top w:type="dxa" w:w="60"/>
              <w:left w:type="dxa" w:w="90"/>
              <w:bottom w:type="dxa" w:w="60"/>
              <w:right w:type="dxa" w:w="90"/>
            </w:tcMar>
          </w:tcPr>
          <w:p>
            <w:pPr>
              <w:jc w:val="right"/>
            </w:pPr>
            <w:r>
              <w:rPr>
                <w:b/>
                <w:bCs/>
                <w:color w:val="FFFFFF"/>
                <w:sz w:val="19"/>
                <w:szCs w:val="19"/>
              </w:rPr>
              <w:t xml:space="preserve">Approx. latest</w:t>
            </w:r>
          </w:p>
        </w:tc>
        <w:tc>
          <w:tcPr>
            <w:tcW w:type="dxa" w:w="4260"/>
            <w:shd w:fill="1F3A5F" w:color="auto" w:val="clear"/>
            <w:tcMar>
              <w:top w:type="dxa" w:w="60"/>
              <w:left w:type="dxa" w:w="90"/>
              <w:bottom w:type="dxa" w:w="60"/>
              <w:right w:type="dxa" w:w="90"/>
            </w:tcMar>
          </w:tcPr>
          <w:p>
            <w:pPr>
              <w:jc w:val="right"/>
            </w:pPr>
            <w:r>
              <w:rPr>
                <w:b/>
                <w:bCs/>
                <w:color w:val="FFFFFF"/>
                <w:sz w:val="19"/>
                <w:szCs w:val="19"/>
              </w:rPr>
              <w:t xml:space="preserve">Comment</w:t>
            </w:r>
          </w:p>
        </w:tc>
      </w:tr>
      <w:tr>
        <w:tc>
          <w:tcPr>
            <w:tcW w:type="dxa" w:w="2400"/>
            <w:shd w:fill="FFFFFF" w:color="auto" w:val="clear"/>
            <w:tcMar>
              <w:top w:type="dxa" w:w="50"/>
              <w:left w:type="dxa" w:w="90"/>
              <w:bottom w:type="dxa" w:w="50"/>
              <w:right w:type="dxa" w:w="90"/>
            </w:tcMar>
          </w:tcPr>
          <w:p>
            <w:pPr>
              <w:jc w:val="left"/>
            </w:pPr>
            <w:r>
              <w:rPr>
                <w:color w:val="222222"/>
                <w:sz w:val="19"/>
                <w:szCs w:val="19"/>
              </w:rPr>
              <w:t xml:space="preserve">Cash &amp; equivalents</w:t>
            </w:r>
          </w:p>
        </w:tc>
        <w:tc>
          <w:tcPr>
            <w:tcW w:type="dxa" w:w="2100"/>
            <w:shd w:fill="FFFFFF" w:color="auto" w:val="clear"/>
            <w:tcMar>
              <w:top w:type="dxa" w:w="50"/>
              <w:left w:type="dxa" w:w="90"/>
              <w:bottom w:type="dxa" w:w="50"/>
              <w:right w:type="dxa" w:w="90"/>
            </w:tcMar>
          </w:tcPr>
          <w:p>
            <w:pPr>
              <w:jc w:val="right"/>
            </w:pPr>
            <w:r>
              <w:rPr>
                <w:color w:val="222222"/>
                <w:sz w:val="19"/>
                <w:szCs w:val="19"/>
              </w:rPr>
              <w:t xml:space="preserve">~$2.16B</w:t>
            </w:r>
          </w:p>
        </w:tc>
        <w:tc>
          <w:tcPr>
            <w:tcW w:type="dxa" w:w="4260"/>
            <w:shd w:fill="FFFFFF" w:color="auto" w:val="clear"/>
            <w:tcMar>
              <w:top w:type="dxa" w:w="50"/>
              <w:left w:type="dxa" w:w="90"/>
              <w:bottom w:type="dxa" w:w="50"/>
              <w:right w:type="dxa" w:w="90"/>
            </w:tcMar>
          </w:tcPr>
          <w:p>
            <w:pPr>
              <w:jc w:val="right"/>
            </w:pPr>
            <w:r>
              <w:rPr>
                <w:color w:val="222222"/>
                <w:sz w:val="19"/>
                <w:szCs w:val="19"/>
              </w:rPr>
              <w:t xml:space="preserve">Ample near-term liquidity</w:t>
            </w:r>
          </w:p>
        </w:tc>
      </w:tr>
      <w:tr>
        <w:tc>
          <w:tcPr>
            <w:tcW w:type="dxa" w:w="2400"/>
            <w:shd w:fill="EEF2F7" w:color="auto" w:val="clear"/>
            <w:tcMar>
              <w:top w:type="dxa" w:w="50"/>
              <w:left w:type="dxa" w:w="90"/>
              <w:bottom w:type="dxa" w:w="50"/>
              <w:right w:type="dxa" w:w="90"/>
            </w:tcMar>
          </w:tcPr>
          <w:p>
            <w:pPr>
              <w:jc w:val="left"/>
            </w:pPr>
            <w:r>
              <w:rPr>
                <w:color w:val="222222"/>
                <w:sz w:val="19"/>
                <w:szCs w:val="19"/>
              </w:rPr>
              <w:t xml:space="preserve">Total debt</w:t>
            </w:r>
          </w:p>
        </w:tc>
        <w:tc>
          <w:tcPr>
            <w:tcW w:type="dxa" w:w="2100"/>
            <w:shd w:fill="EEF2F7" w:color="auto" w:val="clear"/>
            <w:tcMar>
              <w:top w:type="dxa" w:w="50"/>
              <w:left w:type="dxa" w:w="90"/>
              <w:bottom w:type="dxa" w:w="50"/>
              <w:right w:type="dxa" w:w="90"/>
            </w:tcMar>
          </w:tcPr>
          <w:p>
            <w:pPr>
              <w:jc w:val="right"/>
            </w:pPr>
            <w:r>
              <w:rPr>
                <w:color w:val="222222"/>
                <w:sz w:val="19"/>
                <w:szCs w:val="19"/>
              </w:rPr>
              <w:t xml:space="preserve">~$3.51B</w:t>
            </w:r>
          </w:p>
        </w:tc>
        <w:tc>
          <w:tcPr>
            <w:tcW w:type="dxa" w:w="4260"/>
            <w:shd w:fill="EEF2F7" w:color="auto" w:val="clear"/>
            <w:tcMar>
              <w:top w:type="dxa" w:w="50"/>
              <w:left w:type="dxa" w:w="90"/>
              <w:bottom w:type="dxa" w:w="50"/>
              <w:right w:type="dxa" w:w="90"/>
            </w:tcMar>
          </w:tcPr>
          <w:p>
            <w:pPr>
              <w:jc w:val="right"/>
            </w:pPr>
            <w:r>
              <w:rPr>
                <w:color w:val="222222"/>
                <w:sz w:val="19"/>
                <w:szCs w:val="19"/>
              </w:rPr>
              <w:t xml:space="preserve">Long-term debt ~$2.49B</w:t>
            </w:r>
          </w:p>
        </w:tc>
      </w:tr>
      <w:tr>
        <w:tc>
          <w:tcPr>
            <w:tcW w:type="dxa" w:w="2400"/>
            <w:shd w:fill="FFFFFF" w:color="auto" w:val="clear"/>
            <w:tcMar>
              <w:top w:type="dxa" w:w="50"/>
              <w:left w:type="dxa" w:w="90"/>
              <w:bottom w:type="dxa" w:w="50"/>
              <w:right w:type="dxa" w:w="90"/>
            </w:tcMar>
          </w:tcPr>
          <w:p>
            <w:pPr>
              <w:jc w:val="left"/>
            </w:pPr>
            <w:r>
              <w:rPr>
                <w:color w:val="222222"/>
                <w:sz w:val="19"/>
                <w:szCs w:val="19"/>
              </w:rPr>
              <w:t xml:space="preserve">Net debt</w:t>
            </w:r>
          </w:p>
        </w:tc>
        <w:tc>
          <w:tcPr>
            <w:tcW w:type="dxa" w:w="2100"/>
            <w:shd w:fill="FFFFFF" w:color="auto" w:val="clear"/>
            <w:tcMar>
              <w:top w:type="dxa" w:w="50"/>
              <w:left w:type="dxa" w:w="90"/>
              <w:bottom w:type="dxa" w:w="50"/>
              <w:right w:type="dxa" w:w="90"/>
            </w:tcMar>
          </w:tcPr>
          <w:p>
            <w:pPr>
              <w:jc w:val="right"/>
            </w:pPr>
            <w:r>
              <w:rPr>
                <w:b/>
                <w:bCs/>
                <w:color w:val="222222"/>
                <w:sz w:val="19"/>
                <w:szCs w:val="19"/>
              </w:rPr>
              <w:t xml:space="preserve">~$1.35B</w:t>
            </w:r>
          </w:p>
        </w:tc>
        <w:tc>
          <w:tcPr>
            <w:tcW w:type="dxa" w:w="4260"/>
            <w:shd w:fill="FFFFFF" w:color="auto" w:val="clear"/>
            <w:tcMar>
              <w:top w:type="dxa" w:w="50"/>
              <w:left w:type="dxa" w:w="90"/>
              <w:bottom w:type="dxa" w:w="50"/>
              <w:right w:type="dxa" w:w="90"/>
            </w:tcMar>
          </w:tcPr>
          <w:p>
            <w:pPr>
              <w:jc w:val="right"/>
            </w:pPr>
            <w:r>
              <w:rPr>
                <w:color w:val="222222"/>
                <w:sz w:val="19"/>
                <w:szCs w:val="19"/>
              </w:rPr>
              <w:t xml:space="preserve">Manageable pre-launch</w:t>
            </w:r>
          </w:p>
        </w:tc>
      </w:tr>
      <w:tr>
        <w:tc>
          <w:tcPr>
            <w:tcW w:type="dxa" w:w="2400"/>
            <w:shd w:fill="EEF2F7" w:color="auto" w:val="clear"/>
            <w:tcMar>
              <w:top w:type="dxa" w:w="50"/>
              <w:left w:type="dxa" w:w="90"/>
              <w:bottom w:type="dxa" w:w="50"/>
              <w:right w:type="dxa" w:w="90"/>
            </w:tcMar>
          </w:tcPr>
          <w:p>
            <w:pPr>
              <w:jc w:val="left"/>
            </w:pPr>
            <w:r>
              <w:rPr>
                <w:color w:val="222222"/>
                <w:sz w:val="19"/>
                <w:szCs w:val="19"/>
              </w:rPr>
              <w:t xml:space="preserve">Debt / equity</w:t>
            </w:r>
          </w:p>
        </w:tc>
        <w:tc>
          <w:tcPr>
            <w:tcW w:type="dxa" w:w="2100"/>
            <w:shd w:fill="EEF2F7" w:color="auto" w:val="clear"/>
            <w:tcMar>
              <w:top w:type="dxa" w:w="50"/>
              <w:left w:type="dxa" w:w="90"/>
              <w:bottom w:type="dxa" w:w="50"/>
              <w:right w:type="dxa" w:w="90"/>
            </w:tcMar>
          </w:tcPr>
          <w:p>
            <w:pPr>
              <w:jc w:val="right"/>
            </w:pPr>
            <w:r>
              <w:rPr>
                <w:color w:val="222222"/>
                <w:sz w:val="19"/>
                <w:szCs w:val="19"/>
              </w:rPr>
              <w:t xml:space="preserve">~84-88%</w:t>
            </w:r>
          </w:p>
        </w:tc>
        <w:tc>
          <w:tcPr>
            <w:tcW w:type="dxa" w:w="4260"/>
            <w:shd w:fill="EEF2F7" w:color="auto" w:val="clear"/>
            <w:tcMar>
              <w:top w:type="dxa" w:w="50"/>
              <w:left w:type="dxa" w:w="90"/>
              <w:bottom w:type="dxa" w:w="50"/>
              <w:right w:type="dxa" w:w="90"/>
            </w:tcMar>
          </w:tcPr>
          <w:p>
            <w:pPr>
              <w:jc w:val="right"/>
            </w:pPr>
            <w:r>
              <w:rPr>
                <w:color w:val="222222"/>
                <w:sz w:val="19"/>
                <w:szCs w:val="19"/>
              </w:rPr>
              <w:t xml:space="preserve">Rose from ~0% over 5 yrs</w:t>
            </w:r>
          </w:p>
        </w:tc>
      </w:tr>
      <w:tr>
        <w:tc>
          <w:tcPr>
            <w:tcW w:type="dxa" w:w="2400"/>
            <w:shd w:fill="FFFFFF" w:color="auto" w:val="clear"/>
            <w:tcMar>
              <w:top w:type="dxa" w:w="50"/>
              <w:left w:type="dxa" w:w="90"/>
              <w:bottom w:type="dxa" w:w="50"/>
              <w:right w:type="dxa" w:w="90"/>
            </w:tcMar>
          </w:tcPr>
          <w:p>
            <w:pPr>
              <w:jc w:val="left"/>
            </w:pPr>
            <w:r>
              <w:rPr>
                <w:color w:val="222222"/>
                <w:sz w:val="19"/>
                <w:szCs w:val="19"/>
              </w:rPr>
              <w:t xml:space="preserve">Debt repaid in FY26</w:t>
            </w:r>
          </w:p>
        </w:tc>
        <w:tc>
          <w:tcPr>
            <w:tcW w:type="dxa" w:w="2100"/>
            <w:shd w:fill="FFFFFF" w:color="auto" w:val="clear"/>
            <w:tcMar>
              <w:top w:type="dxa" w:w="50"/>
              <w:left w:type="dxa" w:w="90"/>
              <w:bottom w:type="dxa" w:w="50"/>
              <w:right w:type="dxa" w:w="90"/>
            </w:tcMar>
          </w:tcPr>
          <w:p>
            <w:pPr>
              <w:jc w:val="right"/>
            </w:pPr>
            <w:r>
              <w:rPr>
                <w:color w:val="1E6B3A"/>
                <w:sz w:val="19"/>
                <w:szCs w:val="19"/>
              </w:rPr>
              <w:t xml:space="preserve">$1.15B</w:t>
            </w:r>
          </w:p>
        </w:tc>
        <w:tc>
          <w:tcPr>
            <w:tcW w:type="dxa" w:w="4260"/>
            <w:shd w:fill="FFFFFF" w:color="auto" w:val="clear"/>
            <w:tcMar>
              <w:top w:type="dxa" w:w="50"/>
              <w:left w:type="dxa" w:w="90"/>
              <w:bottom w:type="dxa" w:w="50"/>
              <w:right w:type="dxa" w:w="90"/>
            </w:tcMar>
          </w:tcPr>
          <w:p>
            <w:pPr>
              <w:jc w:val="right"/>
            </w:pPr>
            <w:r>
              <w:rPr>
                <w:color w:val="222222"/>
                <w:sz w:val="19"/>
                <w:szCs w:val="19"/>
              </w:rPr>
              <w:t xml:space="preserve">Deleveraging underway</w:t>
            </w:r>
          </w:p>
        </w:tc>
      </w:tr>
    </w:tbl>
    <w:p>
      <w:pPr>
        <w:spacing w:after="60"/>
      </w:pPr>
    </w:p>
    <w:p>
      <w:pPr>
        <w:spacing w:after="60" w:line="276"/>
      </w:pPr>
      <w:r>
        <w:rPr>
          <w:color w:val="222222"/>
          <w:sz w:val="21"/>
          <w:szCs w:val="21"/>
        </w:rPr>
        <w:t xml:space="preserve">Management has named debt repayment the top capital-allocation priority after launch. Leverage is the single biggest amplifier of downside if GTA VI disappoints, but the cash position and the FY26 repayment pace suggest the balance sheet is defensible into the launch. There is no dividend; capital returns are not part of the thesis.</w:t>
      </w:r>
    </w:p>
    <w:p>
      <w:pPr>
        <w:pStyle w:val="Heading1"/>
        <w:pBdr>
          <w:bottom w:val="single" w:color="C9D4E0" w:sz="6" w:space="4"/>
        </w:pBdr>
        <w:spacing w:after="90" w:before="170"/>
      </w:pPr>
      <w:r>
        <w:rPr>
          <w:b/>
          <w:bCs/>
          <w:color w:val="1F3A5F"/>
          <w:sz w:val="28"/>
          <w:szCs w:val="28"/>
        </w:rPr>
        <w:t xml:space="preserve">Valuation &amp; Analyst Consensus</w:t>
      </w:r>
    </w:p>
    <w:p>
      <w:pPr>
        <w:spacing w:after="120" w:line="276"/>
      </w:pPr>
      <w:r>
        <w:rPr>
          <w:color w:val="222222"/>
          <w:sz w:val="21"/>
          <w:szCs w:val="21"/>
        </w:rPr>
        <w:t xml:space="preserve">Sell-side sentiment is nearly unanimous - itself a mild contrarian caution. Across ~29 covering analysts, the split is roughly 25 Buy / 3 Outperform / 1 Hold / 1 Underperform.</w:t>
      </w:r>
    </w:p>
    <w:tbl>
      <w:tblPr>
        <w:tblW w:type="dxa" w:w="8760"/>
        <w:tblBorders>
          <w:top w:val="single" w:color="C9D4E0" w:sz="2"/>
          <w:left w:val="none"/>
          <w:bottom w:val="single" w:color="C9D4E0" w:sz="2"/>
          <w:right w:val="none"/>
          <w:insideH w:val="single" w:color="C9D4E0" w:sz="1"/>
          <w:insideV w:val="none"/>
        </w:tblBorders>
      </w:tblPr>
      <w:tblGrid>
        <w:gridCol w:w="3400"/>
        <w:gridCol w:w="1700"/>
        <w:gridCol w:w="3660"/>
      </w:tblGrid>
      <w:tr>
        <w:trPr>
          <w:tblHeader/>
        </w:trPr>
        <w:tc>
          <w:tcPr>
            <w:tcW w:type="dxa" w:w="3400"/>
            <w:shd w:fill="1F3A5F" w:color="auto" w:val="clear"/>
            <w:tcMar>
              <w:top w:type="dxa" w:w="60"/>
              <w:left w:type="dxa" w:w="90"/>
              <w:bottom w:type="dxa" w:w="60"/>
              <w:right w:type="dxa" w:w="90"/>
            </w:tcMar>
          </w:tcPr>
          <w:p>
            <w:pPr>
              <w:jc w:val="left"/>
            </w:pPr>
            <w:r>
              <w:rPr>
                <w:b/>
                <w:bCs/>
                <w:color w:val="FFFFFF"/>
                <w:sz w:val="19"/>
                <w:szCs w:val="19"/>
              </w:rPr>
              <w:t xml:space="preserve">Firm / measure</w:t>
            </w:r>
          </w:p>
        </w:tc>
        <w:tc>
          <w:tcPr>
            <w:tcW w:type="dxa" w:w="1700"/>
            <w:shd w:fill="1F3A5F" w:color="auto" w:val="clear"/>
            <w:tcMar>
              <w:top w:type="dxa" w:w="60"/>
              <w:left w:type="dxa" w:w="90"/>
              <w:bottom w:type="dxa" w:w="60"/>
              <w:right w:type="dxa" w:w="90"/>
            </w:tcMar>
          </w:tcPr>
          <w:p>
            <w:pPr>
              <w:jc w:val="right"/>
            </w:pPr>
            <w:r>
              <w:rPr>
                <w:b/>
                <w:bCs/>
                <w:color w:val="FFFFFF"/>
                <w:sz w:val="19"/>
                <w:szCs w:val="19"/>
              </w:rPr>
              <w:t xml:space="preserve">Target</w:t>
            </w:r>
          </w:p>
        </w:tc>
        <w:tc>
          <w:tcPr>
            <w:tcW w:type="dxa" w:w="3660"/>
            <w:shd w:fill="1F3A5F" w:color="auto" w:val="clear"/>
            <w:tcMar>
              <w:top w:type="dxa" w:w="60"/>
              <w:left w:type="dxa" w:w="90"/>
              <w:bottom w:type="dxa" w:w="60"/>
              <w:right w:type="dxa" w:w="90"/>
            </w:tcMar>
          </w:tcPr>
          <w:p>
            <w:pPr>
              <w:jc w:val="right"/>
            </w:pPr>
            <w:r>
              <w:rPr>
                <w:b/>
                <w:bCs/>
                <w:color w:val="FFFFFF"/>
                <w:sz w:val="19"/>
                <w:szCs w:val="19"/>
              </w:rPr>
              <w:t xml:space="preserve">Stance</w:t>
            </w:r>
          </w:p>
        </w:tc>
      </w:tr>
      <w:tr>
        <w:tc>
          <w:tcPr>
            <w:tcW w:type="dxa" w:w="3400"/>
            <w:shd w:fill="FFFFFF" w:color="auto" w:val="clear"/>
            <w:tcMar>
              <w:top w:type="dxa" w:w="50"/>
              <w:left w:type="dxa" w:w="90"/>
              <w:bottom w:type="dxa" w:w="50"/>
              <w:right w:type="dxa" w:w="90"/>
            </w:tcMar>
          </w:tcPr>
          <w:p>
            <w:pPr>
              <w:jc w:val="left"/>
            </w:pPr>
            <w:r>
              <w:rPr>
                <w:color w:val="222222"/>
                <w:sz w:val="19"/>
                <w:szCs w:val="19"/>
              </w:rPr>
              <w:t xml:space="preserve">Street mean</w:t>
            </w:r>
          </w:p>
        </w:tc>
        <w:tc>
          <w:tcPr>
            <w:tcW w:type="dxa" w:w="1700"/>
            <w:shd w:fill="FFFFFF" w:color="auto" w:val="clear"/>
            <w:tcMar>
              <w:top w:type="dxa" w:w="50"/>
              <w:left w:type="dxa" w:w="90"/>
              <w:bottom w:type="dxa" w:w="50"/>
              <w:right w:type="dxa" w:w="90"/>
            </w:tcMar>
          </w:tcPr>
          <w:p>
            <w:pPr>
              <w:jc w:val="right"/>
            </w:pPr>
            <w:r>
              <w:rPr>
                <w:b/>
                <w:bCs/>
                <w:color w:val="222222"/>
                <w:sz w:val="19"/>
                <w:szCs w:val="19"/>
              </w:rPr>
              <w:t xml:space="preserve">$281</w:t>
            </w:r>
          </w:p>
        </w:tc>
        <w:tc>
          <w:tcPr>
            <w:tcW w:type="dxa" w:w="3660"/>
            <w:shd w:fill="FFFFFF" w:color="auto" w:val="clear"/>
            <w:tcMar>
              <w:top w:type="dxa" w:w="50"/>
              <w:left w:type="dxa" w:w="90"/>
              <w:bottom w:type="dxa" w:w="50"/>
              <w:right w:type="dxa" w:w="90"/>
            </w:tcMar>
          </w:tcPr>
          <w:p>
            <w:pPr>
              <w:jc w:val="right"/>
            </w:pPr>
            <w:r>
              <w:rPr>
                <w:color w:val="222222"/>
                <w:sz w:val="19"/>
                <w:szCs w:val="19"/>
              </w:rPr>
              <w:t xml:space="preserve">~+12% vs. recent price</w:t>
            </w:r>
          </w:p>
        </w:tc>
      </w:tr>
      <w:tr>
        <w:tc>
          <w:tcPr>
            <w:tcW w:type="dxa" w:w="3400"/>
            <w:shd w:fill="EEF2F7" w:color="auto" w:val="clear"/>
            <w:tcMar>
              <w:top w:type="dxa" w:w="50"/>
              <w:left w:type="dxa" w:w="90"/>
              <w:bottom w:type="dxa" w:w="50"/>
              <w:right w:type="dxa" w:w="90"/>
            </w:tcMar>
          </w:tcPr>
          <w:p>
            <w:pPr>
              <w:jc w:val="left"/>
            </w:pPr>
            <w:r>
              <w:rPr>
                <w:color w:val="222222"/>
                <w:sz w:val="19"/>
                <w:szCs w:val="19"/>
              </w:rPr>
              <w:t xml:space="preserve">Bank of America (Street high)</w:t>
            </w:r>
          </w:p>
        </w:tc>
        <w:tc>
          <w:tcPr>
            <w:tcW w:type="dxa" w:w="1700"/>
            <w:shd w:fill="EEF2F7" w:color="auto" w:val="clear"/>
            <w:tcMar>
              <w:top w:type="dxa" w:w="50"/>
              <w:left w:type="dxa" w:w="90"/>
              <w:bottom w:type="dxa" w:w="50"/>
              <w:right w:type="dxa" w:w="90"/>
            </w:tcMar>
          </w:tcPr>
          <w:p>
            <w:pPr>
              <w:jc w:val="right"/>
            </w:pPr>
            <w:r>
              <w:rPr>
                <w:color w:val="1E6B3A"/>
                <w:sz w:val="19"/>
                <w:szCs w:val="19"/>
              </w:rPr>
              <w:t xml:space="preserve">$368</w:t>
            </w:r>
          </w:p>
        </w:tc>
        <w:tc>
          <w:tcPr>
            <w:tcW w:type="dxa" w:w="3660"/>
            <w:shd w:fill="EEF2F7" w:color="auto" w:val="clear"/>
            <w:tcMar>
              <w:top w:type="dxa" w:w="50"/>
              <w:left w:type="dxa" w:w="90"/>
              <w:bottom w:type="dxa" w:w="50"/>
              <w:right w:type="dxa" w:w="90"/>
            </w:tcMar>
          </w:tcPr>
          <w:p>
            <w:pPr>
              <w:jc w:val="right"/>
            </w:pPr>
            <w:r>
              <w:rPr>
                <w:color w:val="222222"/>
                <w:sz w:val="19"/>
                <w:szCs w:val="19"/>
              </w:rPr>
              <w:t xml:space="preserve">Fortnite-level GTA Online monetization</w:t>
            </w:r>
          </w:p>
        </w:tc>
      </w:tr>
      <w:tr>
        <w:tc>
          <w:tcPr>
            <w:tcW w:type="dxa" w:w="3400"/>
            <w:shd w:fill="FFFFFF" w:color="auto" w:val="clear"/>
            <w:tcMar>
              <w:top w:type="dxa" w:w="50"/>
              <w:left w:type="dxa" w:w="90"/>
              <w:bottom w:type="dxa" w:w="50"/>
              <w:right w:type="dxa" w:w="90"/>
            </w:tcMar>
          </w:tcPr>
          <w:p>
            <w:pPr>
              <w:jc w:val="left"/>
            </w:pPr>
            <w:r>
              <w:rPr>
                <w:color w:val="222222"/>
                <w:sz w:val="19"/>
                <w:szCs w:val="19"/>
              </w:rPr>
              <w:t xml:space="preserve">BTIG</w:t>
            </w:r>
          </w:p>
        </w:tc>
        <w:tc>
          <w:tcPr>
            <w:tcW w:type="dxa" w:w="1700"/>
            <w:shd w:fill="FFFFFF" w:color="auto" w:val="clear"/>
            <w:tcMar>
              <w:top w:type="dxa" w:w="50"/>
              <w:left w:type="dxa" w:w="90"/>
              <w:bottom w:type="dxa" w:w="50"/>
              <w:right w:type="dxa" w:w="90"/>
            </w:tcMar>
          </w:tcPr>
          <w:p>
            <w:pPr>
              <w:jc w:val="right"/>
            </w:pPr>
            <w:r>
              <w:rPr>
                <w:color w:val="222222"/>
                <w:sz w:val="19"/>
                <w:szCs w:val="19"/>
              </w:rPr>
              <w:t xml:space="preserve">$290-$293</w:t>
            </w:r>
          </w:p>
        </w:tc>
        <w:tc>
          <w:tcPr>
            <w:tcW w:type="dxa" w:w="3660"/>
            <w:shd w:fill="FFFFFF" w:color="auto" w:val="clear"/>
            <w:tcMar>
              <w:top w:type="dxa" w:w="50"/>
              <w:left w:type="dxa" w:w="90"/>
              <w:bottom w:type="dxa" w:w="50"/>
              <w:right w:type="dxa" w:w="90"/>
            </w:tcMar>
          </w:tcPr>
          <w:p>
            <w:pPr>
              <w:jc w:val="right"/>
            </w:pPr>
            <w:r>
              <w:rPr>
                <w:color w:val="222222"/>
                <w:sz w:val="19"/>
                <w:szCs w:val="19"/>
              </w:rPr>
              <w:t xml:space="preserve">Buy (initiation)</w:t>
            </w:r>
          </w:p>
        </w:tc>
      </w:tr>
      <w:tr>
        <w:tc>
          <w:tcPr>
            <w:tcW w:type="dxa" w:w="3400"/>
            <w:shd w:fill="EEF2F7" w:color="auto" w:val="clear"/>
            <w:tcMar>
              <w:top w:type="dxa" w:w="50"/>
              <w:left w:type="dxa" w:w="90"/>
              <w:bottom w:type="dxa" w:w="50"/>
              <w:right w:type="dxa" w:w="90"/>
            </w:tcMar>
          </w:tcPr>
          <w:p>
            <w:pPr>
              <w:jc w:val="left"/>
            </w:pPr>
            <w:r>
              <w:rPr>
                <w:color w:val="222222"/>
                <w:sz w:val="19"/>
                <w:szCs w:val="19"/>
              </w:rPr>
              <w:t xml:space="preserve">BMO Capital</w:t>
            </w:r>
          </w:p>
        </w:tc>
        <w:tc>
          <w:tcPr>
            <w:tcW w:type="dxa" w:w="1700"/>
            <w:shd w:fill="EEF2F7" w:color="auto" w:val="clear"/>
            <w:tcMar>
              <w:top w:type="dxa" w:w="50"/>
              <w:left w:type="dxa" w:w="90"/>
              <w:bottom w:type="dxa" w:w="50"/>
              <w:right w:type="dxa" w:w="90"/>
            </w:tcMar>
          </w:tcPr>
          <w:p>
            <w:pPr>
              <w:jc w:val="right"/>
            </w:pPr>
            <w:r>
              <w:rPr>
                <w:color w:val="222222"/>
                <w:sz w:val="19"/>
                <w:szCs w:val="19"/>
              </w:rPr>
              <w:t xml:space="preserve">$285</w:t>
            </w:r>
          </w:p>
        </w:tc>
        <w:tc>
          <w:tcPr>
            <w:tcW w:type="dxa" w:w="3660"/>
            <w:shd w:fill="EEF2F7" w:color="auto" w:val="clear"/>
            <w:tcMar>
              <w:top w:type="dxa" w:w="50"/>
              <w:left w:type="dxa" w:w="90"/>
              <w:bottom w:type="dxa" w:w="50"/>
              <w:right w:type="dxa" w:w="90"/>
            </w:tcMar>
          </w:tcPr>
          <w:p>
            <w:pPr>
              <w:jc w:val="right"/>
            </w:pPr>
            <w:r>
              <w:rPr>
                <w:color w:val="222222"/>
                <w:sz w:val="19"/>
                <w:szCs w:val="19"/>
              </w:rPr>
              <w:t xml:space="preserve">Raised</w:t>
            </w:r>
          </w:p>
        </w:tc>
      </w:tr>
      <w:tr>
        <w:tc>
          <w:tcPr>
            <w:tcW w:type="dxa" w:w="3400"/>
            <w:shd w:fill="FFFFFF" w:color="auto" w:val="clear"/>
            <w:tcMar>
              <w:top w:type="dxa" w:w="50"/>
              <w:left w:type="dxa" w:w="90"/>
              <w:bottom w:type="dxa" w:w="50"/>
              <w:right w:type="dxa" w:w="90"/>
            </w:tcMar>
          </w:tcPr>
          <w:p>
            <w:pPr>
              <w:jc w:val="left"/>
            </w:pPr>
            <w:r>
              <w:rPr>
                <w:color w:val="222222"/>
                <w:sz w:val="19"/>
                <w:szCs w:val="19"/>
              </w:rPr>
              <w:t xml:space="preserve">Piper Sandler</w:t>
            </w:r>
          </w:p>
        </w:tc>
        <w:tc>
          <w:tcPr>
            <w:tcW w:type="dxa" w:w="1700"/>
            <w:shd w:fill="FFFFFF" w:color="auto" w:val="clear"/>
            <w:tcMar>
              <w:top w:type="dxa" w:w="50"/>
              <w:left w:type="dxa" w:w="90"/>
              <w:bottom w:type="dxa" w:w="50"/>
              <w:right w:type="dxa" w:w="90"/>
            </w:tcMar>
          </w:tcPr>
          <w:p>
            <w:pPr>
              <w:jc w:val="right"/>
            </w:pPr>
            <w:r>
              <w:rPr>
                <w:color w:val="222222"/>
                <w:sz w:val="19"/>
                <w:szCs w:val="19"/>
              </w:rPr>
              <w:t xml:space="preserve">$280</w:t>
            </w:r>
          </w:p>
        </w:tc>
        <w:tc>
          <w:tcPr>
            <w:tcW w:type="dxa" w:w="3660"/>
            <w:shd w:fill="FFFFFF" w:color="auto" w:val="clear"/>
            <w:tcMar>
              <w:top w:type="dxa" w:w="50"/>
              <w:left w:type="dxa" w:w="90"/>
              <w:bottom w:type="dxa" w:w="50"/>
              <w:right w:type="dxa" w:w="90"/>
            </w:tcMar>
          </w:tcPr>
          <w:p>
            <w:pPr>
              <w:jc w:val="right"/>
            </w:pPr>
            <w:r>
              <w:rPr>
                <w:color w:val="222222"/>
                <w:sz w:val="19"/>
                <w:szCs w:val="19"/>
              </w:rPr>
              <w:t xml:space="preserve">Overweight (initiation)</w:t>
            </w:r>
          </w:p>
        </w:tc>
      </w:tr>
      <w:tr>
        <w:tc>
          <w:tcPr>
            <w:tcW w:type="dxa" w:w="3400"/>
            <w:shd w:fill="EEF2F7" w:color="auto" w:val="clear"/>
            <w:tcMar>
              <w:top w:type="dxa" w:w="50"/>
              <w:left w:type="dxa" w:w="90"/>
              <w:bottom w:type="dxa" w:w="50"/>
              <w:right w:type="dxa" w:w="90"/>
            </w:tcMar>
          </w:tcPr>
          <w:p>
            <w:pPr>
              <w:jc w:val="left"/>
            </w:pPr>
            <w:r>
              <w:rPr>
                <w:color w:val="222222"/>
                <w:sz w:val="19"/>
                <w:szCs w:val="19"/>
              </w:rPr>
              <w:t xml:space="preserve">Independent DCF (Simply Wall St)</w:t>
            </w:r>
          </w:p>
        </w:tc>
        <w:tc>
          <w:tcPr>
            <w:tcW w:type="dxa" w:w="1700"/>
            <w:shd w:fill="EEF2F7" w:color="auto" w:val="clear"/>
            <w:tcMar>
              <w:top w:type="dxa" w:w="50"/>
              <w:left w:type="dxa" w:w="90"/>
              <w:bottom w:type="dxa" w:w="50"/>
              <w:right w:type="dxa" w:w="90"/>
            </w:tcMar>
          </w:tcPr>
          <w:p>
            <w:pPr>
              <w:jc w:val="right"/>
            </w:pPr>
            <w:r>
              <w:rPr>
                <w:color w:val="222222"/>
                <w:sz w:val="19"/>
                <w:szCs w:val="19"/>
              </w:rPr>
              <w:t xml:space="preserve">~$278</w:t>
            </w:r>
          </w:p>
        </w:tc>
        <w:tc>
          <w:tcPr>
            <w:tcW w:type="dxa" w:w="3660"/>
            <w:shd w:fill="EEF2F7" w:color="auto" w:val="clear"/>
            <w:tcMar>
              <w:top w:type="dxa" w:w="50"/>
              <w:left w:type="dxa" w:w="90"/>
              <w:bottom w:type="dxa" w:w="50"/>
              <w:right w:type="dxa" w:w="90"/>
            </w:tcMar>
          </w:tcPr>
          <w:p>
            <w:pPr>
              <w:jc w:val="right"/>
            </w:pPr>
            <w:r>
              <w:rPr>
                <w:color w:val="222222"/>
                <w:sz w:val="19"/>
                <w:szCs w:val="19"/>
              </w:rPr>
              <w:t xml:space="preserve">~14.8% rev. CAGR assumed</w:t>
            </w:r>
          </w:p>
        </w:tc>
      </w:tr>
      <w:tr>
        <w:tc>
          <w:tcPr>
            <w:tcW w:type="dxa" w:w="3400"/>
            <w:shd w:fill="FFFFFF" w:color="auto" w:val="clear"/>
            <w:tcMar>
              <w:top w:type="dxa" w:w="50"/>
              <w:left w:type="dxa" w:w="90"/>
              <w:bottom w:type="dxa" w:w="50"/>
              <w:right w:type="dxa" w:w="90"/>
            </w:tcMar>
          </w:tcPr>
          <w:p>
            <w:pPr>
              <w:jc w:val="left"/>
            </w:pPr>
            <w:r>
              <w:rPr>
                <w:color w:val="222222"/>
                <w:sz w:val="19"/>
                <w:szCs w:val="19"/>
              </w:rPr>
              <w:t xml:space="preserve">Street low</w:t>
            </w:r>
          </w:p>
        </w:tc>
        <w:tc>
          <w:tcPr>
            <w:tcW w:type="dxa" w:w="1700"/>
            <w:shd w:fill="FFFFFF" w:color="auto" w:val="clear"/>
            <w:tcMar>
              <w:top w:type="dxa" w:w="50"/>
              <w:left w:type="dxa" w:w="90"/>
              <w:bottom w:type="dxa" w:w="50"/>
              <w:right w:type="dxa" w:w="90"/>
            </w:tcMar>
          </w:tcPr>
          <w:p>
            <w:pPr>
              <w:jc w:val="right"/>
            </w:pPr>
            <w:r>
              <w:rPr>
                <w:color w:val="9E2B25"/>
                <w:sz w:val="19"/>
                <w:szCs w:val="19"/>
              </w:rPr>
              <w:t xml:space="preserve">~$170</w:t>
            </w:r>
          </w:p>
        </w:tc>
        <w:tc>
          <w:tcPr>
            <w:tcW w:type="dxa" w:w="3660"/>
            <w:shd w:fill="FFFFFF" w:color="auto" w:val="clear"/>
            <w:tcMar>
              <w:top w:type="dxa" w:w="50"/>
              <w:left w:type="dxa" w:w="90"/>
              <w:bottom w:type="dxa" w:w="50"/>
              <w:right w:type="dxa" w:w="90"/>
            </w:tcMar>
          </w:tcPr>
          <w:p>
            <w:pPr>
              <w:jc w:val="right"/>
            </w:pPr>
            <w:r>
              <w:rPr>
                <w:color w:val="222222"/>
                <w:sz w:val="19"/>
                <w:szCs w:val="19"/>
              </w:rPr>
              <w:t xml:space="preserve">Delay / execution-miss scenario</w:t>
            </w:r>
          </w:p>
        </w:tc>
      </w:tr>
    </w:tbl>
    <w:p>
      <w:pPr>
        <w:spacing w:after="40" w:before="120"/>
        <w:jc w:val="center"/>
      </w:pPr>
      <w:r>
        <w:drawing>
          <wp:inline distT="0" distB="0" distL="0" distR="0">
            <wp:extent cx="4476750" cy="2724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476750" cy="2724150"/>
                    </a:xfrm>
                    <a:prstGeom prst="rect">
                      <a:avLst/>
                    </a:prstGeom>
                  </pic:spPr>
                </pic:pic>
              </a:graphicData>
            </a:graphic>
          </wp:inline>
        </w:drawing>
      </w:r>
    </w:p>
    <w:p>
      <w:pPr>
        <w:spacing w:after="120"/>
        <w:jc w:val="center"/>
      </w:pPr>
      <w:r>
        <w:rPr>
          <w:i/>
          <w:iCs/>
          <w:color w:val="5A5A5A"/>
          <w:sz w:val="15"/>
          <w:szCs w:val="15"/>
        </w:rPr>
        <w:t xml:space="preserve">Exhibit: Published targets cluster in the high-$270s to high-$280s just above the recent price, with BofA a clear high-side outlier and the Street low reflecting a delay/miss scenario. Illustrative selection, not exhaustive.</w:t>
      </w:r>
    </w:p>
    <w:p>
      <w:pPr>
        <w:spacing w:after="60"/>
      </w:pPr>
    </w:p>
    <w:p>
      <w:pPr>
        <w:spacing w:after="120" w:line="276"/>
      </w:pPr>
      <w:r>
        <w:rPr>
          <w:color w:val="222222"/>
          <w:sz w:val="21"/>
          <w:szCs w:val="21"/>
        </w:rPr>
        <w:t xml:space="preserve">Note: JPMorgan is </w:t>
      </w:r>
      <w:r>
        <w:rPr>
          <w:i/>
          <w:iCs/>
          <w:color w:val="222222"/>
          <w:sz w:val="21"/>
          <w:szCs w:val="21"/>
        </w:rPr>
        <w:t xml:space="preserve">not</w:t>
      </w:r>
      <w:r>
        <w:rPr>
          <w:color w:val="222222"/>
          <w:sz w:val="21"/>
          <w:szCs w:val="21"/>
        </w:rPr>
        <w:t xml:space="preserve"> currently a data point - the firm suspended coverage of TTWO and removed it from its Equity Analyst Focus List due to an internet-group policy matter, so it carries no live rating or target at this time.</w:t>
      </w:r>
    </w:p>
    <w:p>
      <w:pPr>
        <w:spacing w:after="60" w:line="276"/>
      </w:pPr>
      <w:r>
        <w:rPr>
          <w:color w:val="222222"/>
          <w:sz w:val="21"/>
          <w:szCs w:val="21"/>
        </w:rPr>
        <w:t xml:space="preserve">At ~37x forward EPS the stock is not cheap on near-term numbers; the bull case rests on GTA Online monetization exceeding a Fortnite-comparable baseline. That is plausible - GTA's pay-to-progress model can generate higher per-player spend than pure-cosmetic models - but it is an assumption, not a fact.</w:t>
      </w:r>
    </w:p>
    <w:p>
      <w:pPr>
        <w:pStyle w:val="Heading1"/>
        <w:pBdr>
          <w:bottom w:val="single" w:color="C9D4E0" w:sz="6" w:space="4"/>
        </w:pBdr>
        <w:spacing w:after="90" w:before="170"/>
      </w:pPr>
      <w:r>
        <w:rPr>
          <w:b/>
          <w:bCs/>
          <w:color w:val="1F3A5F"/>
          <w:sz w:val="28"/>
          <w:szCs w:val="28"/>
        </w:rPr>
        <w:t xml:space="preserve">Scenario Analysis</w:t>
      </w:r>
    </w:p>
    <w:tbl>
      <w:tblPr>
        <w:tblW w:type="dxa" w:w="8760"/>
        <w:tblBorders>
          <w:top w:val="single" w:color="C9D4E0" w:sz="2"/>
          <w:left w:val="none"/>
          <w:bottom w:val="single" w:color="C9D4E0" w:sz="2"/>
          <w:right w:val="none"/>
          <w:insideH w:val="single" w:color="C9D4E0" w:sz="1"/>
          <w:insideV w:val="none"/>
        </w:tblBorders>
      </w:tblPr>
      <w:tblGrid>
        <w:gridCol w:w="1500"/>
        <w:gridCol w:w="5560"/>
        <w:gridCol w:w="1700"/>
      </w:tblGrid>
      <w:tr>
        <w:trPr>
          <w:tblHeader/>
        </w:trPr>
        <w:tc>
          <w:tcPr>
            <w:tcW w:type="dxa" w:w="1500"/>
            <w:shd w:fill="1F3A5F" w:color="auto" w:val="clear"/>
            <w:tcMar>
              <w:top w:type="dxa" w:w="60"/>
              <w:left w:type="dxa" w:w="90"/>
              <w:bottom w:type="dxa" w:w="60"/>
              <w:right w:type="dxa" w:w="90"/>
            </w:tcMar>
          </w:tcPr>
          <w:p>
            <w:pPr>
              <w:jc w:val="left"/>
            </w:pPr>
            <w:r>
              <w:rPr>
                <w:b/>
                <w:bCs/>
                <w:color w:val="FFFFFF"/>
                <w:sz w:val="19"/>
                <w:szCs w:val="19"/>
              </w:rPr>
              <w:t xml:space="preserve">Scenario</w:t>
            </w:r>
          </w:p>
        </w:tc>
        <w:tc>
          <w:tcPr>
            <w:tcW w:type="dxa" w:w="5560"/>
            <w:shd w:fill="1F3A5F" w:color="auto" w:val="clear"/>
            <w:tcMar>
              <w:top w:type="dxa" w:w="60"/>
              <w:left w:type="dxa" w:w="90"/>
              <w:bottom w:type="dxa" w:w="60"/>
              <w:right w:type="dxa" w:w="90"/>
            </w:tcMar>
          </w:tcPr>
          <w:p>
            <w:pPr>
              <w:jc w:val="right"/>
            </w:pPr>
            <w:r>
              <w:rPr>
                <w:b/>
                <w:bCs/>
                <w:color w:val="FFFFFF"/>
                <w:sz w:val="19"/>
                <w:szCs w:val="19"/>
              </w:rPr>
              <w:t xml:space="preserve">Key assumptions</w:t>
            </w:r>
          </w:p>
        </w:tc>
        <w:tc>
          <w:tcPr>
            <w:tcW w:type="dxa" w:w="1700"/>
            <w:shd w:fill="1F3A5F" w:color="auto" w:val="clear"/>
            <w:tcMar>
              <w:top w:type="dxa" w:w="60"/>
              <w:left w:type="dxa" w:w="90"/>
              <w:bottom w:type="dxa" w:w="60"/>
              <w:right w:type="dxa" w:w="90"/>
            </w:tcMar>
          </w:tcPr>
          <w:p>
            <w:pPr>
              <w:jc w:val="right"/>
            </w:pPr>
            <w:r>
              <w:rPr>
                <w:b/>
                <w:bCs/>
                <w:color w:val="FFFFFF"/>
                <w:sz w:val="19"/>
                <w:szCs w:val="19"/>
              </w:rPr>
              <w:t xml:space="preserve">Illustrative range</w:t>
            </w:r>
          </w:p>
        </w:tc>
      </w:tr>
      <w:tr>
        <w:tc>
          <w:tcPr>
            <w:tcW w:type="dxa" w:w="1500"/>
            <w:shd w:fill="FFFFFF" w:color="auto" w:val="clear"/>
            <w:tcMar>
              <w:top w:type="dxa" w:w="50"/>
              <w:left w:type="dxa" w:w="90"/>
              <w:bottom w:type="dxa" w:w="50"/>
              <w:right w:type="dxa" w:w="90"/>
            </w:tcMar>
          </w:tcPr>
          <w:p>
            <w:pPr>
              <w:jc w:val="left"/>
            </w:pPr>
            <w:r>
              <w:rPr>
                <w:b/>
                <w:bCs/>
                <w:color w:val="1E6B3A"/>
                <w:sz w:val="19"/>
                <w:szCs w:val="19"/>
              </w:rPr>
              <w:t xml:space="preserve">Bull</w:t>
            </w:r>
          </w:p>
        </w:tc>
        <w:tc>
          <w:tcPr>
            <w:tcW w:type="dxa" w:w="5560"/>
            <w:shd w:fill="FFFFFF" w:color="auto" w:val="clear"/>
            <w:tcMar>
              <w:top w:type="dxa" w:w="50"/>
              <w:left w:type="dxa" w:w="90"/>
              <w:bottom w:type="dxa" w:w="50"/>
              <w:right w:type="dxa" w:w="90"/>
            </w:tcMar>
          </w:tcPr>
          <w:p>
            <w:pPr>
              <w:jc w:val="right"/>
            </w:pPr>
            <w:r>
              <w:rPr>
                <w:color w:val="222222"/>
                <w:sz w:val="19"/>
                <w:szCs w:val="19"/>
              </w:rPr>
              <w:t xml:space="preserve">On-time launch; strong units; online successor arrives sooner and monetizes at/above Fortnite; PC optionality surfaces</w:t>
            </w:r>
          </w:p>
        </w:tc>
        <w:tc>
          <w:tcPr>
            <w:tcW w:type="dxa" w:w="1700"/>
            <w:shd w:fill="FFFFFF" w:color="auto" w:val="clear"/>
            <w:tcMar>
              <w:top w:type="dxa" w:w="50"/>
              <w:left w:type="dxa" w:w="90"/>
              <w:bottom w:type="dxa" w:w="50"/>
              <w:right w:type="dxa" w:w="90"/>
            </w:tcMar>
          </w:tcPr>
          <w:p>
            <w:pPr>
              <w:jc w:val="right"/>
            </w:pPr>
            <w:r>
              <w:rPr>
                <w:b/>
                <w:bCs/>
                <w:color w:val="222222"/>
                <w:sz w:val="19"/>
                <w:szCs w:val="19"/>
              </w:rPr>
              <w:t xml:space="preserve">$330-$370+</w:t>
            </w:r>
          </w:p>
        </w:tc>
      </w:tr>
      <w:tr>
        <w:tc>
          <w:tcPr>
            <w:tcW w:type="dxa" w:w="1500"/>
            <w:shd w:fill="EEF2F7" w:color="auto" w:val="clear"/>
            <w:tcMar>
              <w:top w:type="dxa" w:w="50"/>
              <w:left w:type="dxa" w:w="90"/>
              <w:bottom w:type="dxa" w:w="50"/>
              <w:right w:type="dxa" w:w="90"/>
            </w:tcMar>
          </w:tcPr>
          <w:p>
            <w:pPr>
              <w:jc w:val="left"/>
            </w:pPr>
            <w:r>
              <w:rPr>
                <w:b/>
                <w:bCs/>
                <w:color w:val="222222"/>
                <w:sz w:val="19"/>
                <w:szCs w:val="19"/>
              </w:rPr>
              <w:t xml:space="preserve">Base</w:t>
            </w:r>
          </w:p>
        </w:tc>
        <w:tc>
          <w:tcPr>
            <w:tcW w:type="dxa" w:w="5560"/>
            <w:shd w:fill="EEF2F7" w:color="auto" w:val="clear"/>
            <w:tcMar>
              <w:top w:type="dxa" w:w="50"/>
              <w:left w:type="dxa" w:w="90"/>
              <w:bottom w:type="dxa" w:w="50"/>
              <w:right w:type="dxa" w:w="90"/>
            </w:tcMar>
          </w:tcPr>
          <w:p>
            <w:pPr>
              <w:jc w:val="right"/>
            </w:pPr>
            <w:r>
              <w:rPr>
                <w:color w:val="222222"/>
                <w:sz w:val="19"/>
                <w:szCs w:val="19"/>
              </w:rPr>
              <w:t xml:space="preserve">On-time launch; ~31-40M units in FY27 (per guidance); online follows in FY28 and ramps solidly</w:t>
            </w:r>
          </w:p>
        </w:tc>
        <w:tc>
          <w:tcPr>
            <w:tcW w:type="dxa" w:w="1700"/>
            <w:shd w:fill="EEF2F7" w:color="auto" w:val="clear"/>
            <w:tcMar>
              <w:top w:type="dxa" w:w="50"/>
              <w:left w:type="dxa" w:w="90"/>
              <w:bottom w:type="dxa" w:w="50"/>
              <w:right w:type="dxa" w:w="90"/>
            </w:tcMar>
          </w:tcPr>
          <w:p>
            <w:pPr>
              <w:jc w:val="right"/>
            </w:pPr>
            <w:r>
              <w:rPr>
                <w:b/>
                <w:bCs/>
                <w:color w:val="222222"/>
                <w:sz w:val="19"/>
                <w:szCs w:val="19"/>
              </w:rPr>
              <w:t xml:space="preserve">$280-$300</w:t>
            </w:r>
          </w:p>
        </w:tc>
      </w:tr>
      <w:tr>
        <w:tc>
          <w:tcPr>
            <w:tcW w:type="dxa" w:w="1500"/>
            <w:shd w:fill="FFFFFF" w:color="auto" w:val="clear"/>
            <w:tcMar>
              <w:top w:type="dxa" w:w="50"/>
              <w:left w:type="dxa" w:w="90"/>
              <w:bottom w:type="dxa" w:w="50"/>
              <w:right w:type="dxa" w:w="90"/>
            </w:tcMar>
          </w:tcPr>
          <w:p>
            <w:pPr>
              <w:jc w:val="left"/>
            </w:pPr>
            <w:r>
              <w:rPr>
                <w:b/>
                <w:bCs/>
                <w:color w:val="9E2B25"/>
                <w:sz w:val="19"/>
                <w:szCs w:val="19"/>
              </w:rPr>
              <w:t xml:space="preserve">Bear</w:t>
            </w:r>
          </w:p>
        </w:tc>
        <w:tc>
          <w:tcPr>
            <w:tcW w:type="dxa" w:w="5560"/>
            <w:shd w:fill="FFFFFF" w:color="auto" w:val="clear"/>
            <w:tcMar>
              <w:top w:type="dxa" w:w="50"/>
              <w:left w:type="dxa" w:w="90"/>
              <w:bottom w:type="dxa" w:w="50"/>
              <w:right w:type="dxa" w:w="90"/>
            </w:tcMar>
          </w:tcPr>
          <w:p>
            <w:pPr>
              <w:jc w:val="right"/>
            </w:pPr>
            <w:r>
              <w:rPr>
                <w:color w:val="222222"/>
                <w:sz w:val="19"/>
                <w:szCs w:val="19"/>
              </w:rPr>
              <w:t xml:space="preserve">Delay/slip; long gap to online; weaker spend; multiple compresses on leverage</w:t>
            </w:r>
          </w:p>
        </w:tc>
        <w:tc>
          <w:tcPr>
            <w:tcW w:type="dxa" w:w="1700"/>
            <w:shd w:fill="FFFFFF" w:color="auto" w:val="clear"/>
            <w:tcMar>
              <w:top w:type="dxa" w:w="50"/>
              <w:left w:type="dxa" w:w="90"/>
              <w:bottom w:type="dxa" w:w="50"/>
              <w:right w:type="dxa" w:w="90"/>
            </w:tcMar>
          </w:tcPr>
          <w:p>
            <w:pPr>
              <w:jc w:val="right"/>
            </w:pPr>
            <w:r>
              <w:rPr>
                <w:b/>
                <w:bCs/>
                <w:color w:val="222222"/>
                <w:sz w:val="19"/>
                <w:szCs w:val="19"/>
              </w:rPr>
              <w:t xml:space="preserve">$170-$200</w:t>
            </w:r>
          </w:p>
        </w:tc>
      </w:tr>
    </w:tbl>
    <w:p>
      <w:pPr>
        <w:spacing w:after="60"/>
      </w:pPr>
    </w:p>
    <w:p>
      <w:pPr>
        <w:spacing w:after="60" w:line="276"/>
      </w:pPr>
      <w:r>
        <w:rPr>
          <w:color w:val="222222"/>
          <w:sz w:val="21"/>
          <w:szCs w:val="21"/>
        </w:rPr>
        <w:t xml:space="preserve">The distribution is asymmetric around two variables: the launch date and the (unannounced) timing of the online successor. Upside is larger in magnitude than downside, but the downside is triggered by a single, historically-recurring risk - a Rockstar delay - and the biggest value driver now sits beyond FY27. That shape argues for building a position over time rather than concentrating it ahead of the November date.</w:t>
      </w:r>
    </w:p>
    <w:p>
      <w:pPr>
        <w:pStyle w:val="Heading1"/>
        <w:pBdr>
          <w:bottom w:val="single" w:color="C9D4E0" w:sz="6" w:space="4"/>
        </w:pBdr>
        <w:spacing w:after="90" w:before="170"/>
      </w:pPr>
      <w:r>
        <w:rPr>
          <w:b/>
          <w:bCs/>
          <w:color w:val="1F3A5F"/>
          <w:sz w:val="28"/>
          <w:szCs w:val="28"/>
        </w:rPr>
        <w:t xml:space="preserve">Key Risks</w:t>
      </w:r>
    </w:p>
    <w:p>
      <w:pPr>
        <w:pStyle w:val="ListParagraph"/>
        <w:numPr>
          <w:ilvl w:val="0"/>
          <w:numId w:val="1"/>
        </w:numPr>
        <w:spacing w:after="64" w:line="272"/>
      </w:pPr>
      <w:r>
        <w:rPr>
          <w:b/>
          <w:bCs/>
          <w:color w:val="222222"/>
          <w:sz w:val="21"/>
          <w:szCs w:val="21"/>
        </w:rPr>
        <w:t xml:space="preserve">Release timing. </w:t>
      </w:r>
      <w:r>
        <w:rPr>
          <w:color w:val="222222"/>
          <w:sz w:val="21"/>
          <w:szCs w:val="21"/>
        </w:rPr>
        <w:t xml:space="preserve">Any slip past November 19 pushes bookings into FY28 and breaks the FY27 guide.</w:t>
      </w:r>
    </w:p>
    <w:p>
      <w:pPr>
        <w:pStyle w:val="ListParagraph"/>
        <w:numPr>
          <w:ilvl w:val="0"/>
          <w:numId w:val="1"/>
        </w:numPr>
        <w:spacing w:after="64" w:line="272"/>
      </w:pPr>
      <w:r>
        <w:rPr>
          <w:b/>
          <w:bCs/>
          <w:color w:val="222222"/>
          <w:sz w:val="21"/>
          <w:szCs w:val="21"/>
        </w:rPr>
        <w:t xml:space="preserve">Online-mode timing. </w:t>
      </w:r>
      <w:r>
        <w:rPr>
          <w:color w:val="222222"/>
          <w:sz w:val="21"/>
          <w:szCs w:val="21"/>
        </w:rPr>
        <w:t xml:space="preserve">With no GTA Online at launch and no announced date, the recurring-revenue catalyst is unquantified; a long gap delays the highest-value earnings stream.</w:t>
      </w:r>
    </w:p>
    <w:p>
      <w:pPr>
        <w:pStyle w:val="ListParagraph"/>
        <w:numPr>
          <w:ilvl w:val="0"/>
          <w:numId w:val="1"/>
        </w:numPr>
        <w:spacing w:after="64" w:line="272"/>
      </w:pPr>
      <w:r>
        <w:rPr>
          <w:b/>
          <w:bCs/>
          <w:color w:val="222222"/>
          <w:sz w:val="21"/>
          <w:szCs w:val="21"/>
        </w:rPr>
        <w:t xml:space="preserve">Execution / reception. </w:t>
      </w:r>
      <w:r>
        <w:rPr>
          <w:color w:val="222222"/>
          <w:sz w:val="21"/>
          <w:szCs w:val="21"/>
        </w:rPr>
        <w:t xml:space="preserve">A launch-week technical or quality stumble would dent sentiment and the eventual online ramp.</w:t>
      </w:r>
    </w:p>
    <w:p>
      <w:pPr>
        <w:pStyle w:val="ListParagraph"/>
        <w:numPr>
          <w:ilvl w:val="0"/>
          <w:numId w:val="1"/>
        </w:numPr>
        <w:spacing w:after="64" w:line="272"/>
      </w:pPr>
      <w:r>
        <w:rPr>
          <w:b/>
          <w:bCs/>
          <w:color w:val="222222"/>
          <w:sz w:val="21"/>
          <w:szCs w:val="21"/>
        </w:rPr>
        <w:t xml:space="preserve">Monetization shortfall. </w:t>
      </w:r>
      <w:r>
        <w:rPr>
          <w:color w:val="222222"/>
          <w:sz w:val="21"/>
          <w:szCs w:val="21"/>
        </w:rPr>
        <w:t xml:space="preserve">If the eventual GTA Online under-monetizes vs. the Fortnite comparison, the highest targets deflate.</w:t>
      </w:r>
    </w:p>
    <w:p>
      <w:pPr>
        <w:pStyle w:val="ListParagraph"/>
        <w:numPr>
          <w:ilvl w:val="0"/>
          <w:numId w:val="1"/>
        </w:numPr>
        <w:spacing w:after="64" w:line="272"/>
      </w:pPr>
      <w:r>
        <w:rPr>
          <w:b/>
          <w:bCs/>
          <w:color w:val="222222"/>
          <w:sz w:val="21"/>
          <w:szCs w:val="21"/>
        </w:rPr>
        <w:t xml:space="preserve">Valuation / positioning. </w:t>
      </w:r>
      <w:r>
        <w:rPr>
          <w:color w:val="222222"/>
          <w:sz w:val="21"/>
          <w:szCs w:val="21"/>
        </w:rPr>
        <w:t xml:space="preserve">Crowded, consensus-long name near highs; guidance already trailed the Street; vulnerable to a post-launch unwind.</w:t>
      </w:r>
    </w:p>
    <w:p>
      <w:pPr>
        <w:pStyle w:val="ListParagraph"/>
        <w:numPr>
          <w:ilvl w:val="0"/>
          <w:numId w:val="1"/>
        </w:numPr>
        <w:spacing w:after="64" w:line="272"/>
      </w:pPr>
      <w:r>
        <w:rPr>
          <w:b/>
          <w:bCs/>
          <w:color w:val="222222"/>
          <w:sz w:val="21"/>
          <w:szCs w:val="21"/>
        </w:rPr>
        <w:t xml:space="preserve">Insider selling. </w:t>
      </w:r>
      <w:r>
        <w:rPr>
          <w:color w:val="222222"/>
          <w:sz w:val="21"/>
          <w:szCs w:val="21"/>
        </w:rPr>
        <w:t xml:space="preserve">Executive share sales near recent highs have been flagged as a sentiment negative.</w:t>
      </w:r>
    </w:p>
    <w:p>
      <w:pPr>
        <w:pStyle w:val="ListParagraph"/>
        <w:numPr>
          <w:ilvl w:val="0"/>
          <w:numId w:val="1"/>
        </w:numPr>
        <w:spacing w:after="64" w:line="272"/>
      </w:pPr>
      <w:r>
        <w:rPr>
          <w:b/>
          <w:bCs/>
          <w:color w:val="222222"/>
          <w:sz w:val="21"/>
          <w:szCs w:val="21"/>
        </w:rPr>
        <w:t xml:space="preserve">Macro &amp; consumer. </w:t>
      </w:r>
      <w:r>
        <w:rPr>
          <w:color w:val="222222"/>
          <w:sz w:val="21"/>
          <w:szCs w:val="21"/>
        </w:rPr>
        <w:t xml:space="preserve">Discretionary spending, FX, and platform-fee dynamics affect both units and RCS.</w:t>
      </w:r>
    </w:p>
    <w:p>
      <w:pPr>
        <w:pStyle w:val="ListParagraph"/>
        <w:numPr>
          <w:ilvl w:val="0"/>
          <w:numId w:val="1"/>
        </w:numPr>
        <w:spacing w:after="64" w:line="272"/>
      </w:pPr>
      <w:r>
        <w:rPr>
          <w:b/>
          <w:bCs/>
          <w:color w:val="222222"/>
          <w:sz w:val="21"/>
          <w:szCs w:val="21"/>
        </w:rPr>
        <w:t xml:space="preserve">Index/technical. </w:t>
      </w:r>
      <w:r>
        <w:rPr>
          <w:color w:val="222222"/>
          <w:sz w:val="21"/>
          <w:szCs w:val="21"/>
        </w:rPr>
        <w:t xml:space="preserve">Recent removal from the Russell 1000 Value benchmark can create mechanical flow pressure.</w:t>
      </w:r>
    </w:p>
    <w:p>
      <w:pPr>
        <w:pStyle w:val="Heading1"/>
        <w:pBdr>
          <w:bottom w:val="single" w:color="C9D4E0" w:sz="6" w:space="4"/>
        </w:pBdr>
        <w:spacing w:after="90" w:before="170"/>
      </w:pPr>
      <w:r>
        <w:rPr>
          <w:b/>
          <w:bCs/>
          <w:color w:val="1F3A5F"/>
          <w:sz w:val="28"/>
          <w:szCs w:val="28"/>
        </w:rPr>
        <w:t xml:space="preserve">Bottom Line</w:t>
      </w:r>
    </w:p>
    <w:p>
      <w:pPr>
        <w:spacing w:after="120" w:line="276"/>
      </w:pPr>
      <w:r>
        <w:rPr>
          <w:color w:val="222222"/>
          <w:sz w:val="21"/>
          <w:szCs w:val="21"/>
        </w:rPr>
        <w:t xml:space="preserve">Take-Two pairs a rare, potentially generational catalyst with a strong supporting portfolio and a credible cash-flow inflection. We are constructive on the multi-year story and assign an illustrative long-term Overweight. </w:t>
      </w:r>
      <w:r>
        <w:rPr>
          <w:b/>
          <w:bCs/>
          <w:color w:val="222222"/>
          <w:sz w:val="21"/>
          <w:szCs w:val="21"/>
        </w:rPr>
        <w:t xml:space="preserve">But the near-term reward is asymmetric against the calendar: you would be buying near highs, guidance already trailed the Street, and the durable online payoff is deferred well beyond the November single-player launch - while the dominant risk remains a single delay that has precedent. </w:t>
      </w:r>
      <w:r>
        <w:rPr>
          <w:color w:val="222222"/>
          <w:sz w:val="21"/>
          <w:szCs w:val="21"/>
        </w:rPr>
        <w:t xml:space="preserve">For an investor drawn to the story, phasing capital in over time - rather than committing everything ahead of one launch date - is the more defensible way to express the view.</w:t>
      </w:r>
    </w:p>
    <w:p>
      <w:pPr>
        <w:spacing w:after="8"/>
      </w:pPr>
    </w:p>
    <w:p>
      <w:pPr>
        <w:pBdr>
          <w:top w:val="single" w:color="C9D4E0" w:sz="6" w:space="6"/>
        </w:pBdr>
        <w:spacing w:after="40" w:before="40"/>
      </w:pPr>
      <w:r>
        <w:rPr>
          <w:b/>
          <w:bCs/>
          <w:color w:val="5A5A5A"/>
          <w:sz w:val="17"/>
          <w:szCs w:val="17"/>
        </w:rPr>
        <w:t xml:space="preserve">Important disclosures</w:t>
      </w:r>
    </w:p>
    <w:p>
      <w:pPr>
        <w:spacing w:after="0" w:line="226"/>
      </w:pPr>
      <w:r>
        <w:rPr>
          <w:i/>
          <w:iCs/>
          <w:color w:val="5A5A5A"/>
          <w:sz w:val="14"/>
          <w:szCs w:val="14"/>
        </w:rPr>
        <w:t xml:space="preserve">This is an independent equity research note prepared for educational purposes as a personal analytical project. The rating and price target are illustrative analytical judgments, not official recommendations, and I am not a licensed financial professional. It is not investment advice and does not consider your circumstances. Figures are approximate, drawn from public sources as of early July 2026, and may be stale. Investing risks loss of principal; consult a licensed financial professional before making any decision.</w:t>
      </w:r>
    </w:p>
    <w:sectPr>
      <w:pgSz w:w="12240" w:h="15840" w:orient="portrait"/>
      <w:pgMar w:top="900" w:right="1080" w:bottom="864"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fe84e088e08780fbb2e12bee4e7d8a948236fd49.png"/><Relationship Id="rId8" Type="http://schemas.openxmlformats.org/officeDocument/2006/relationships/image" Target="media/8e6ad74f9e0c608cba5d5ffebae103a300b635bf.png"/><Relationship Id="rId9" Type="http://schemas.openxmlformats.org/officeDocument/2006/relationships/image" Target="media/c874c039205a1ae5c3e504744de763a95197bd3b.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Take-Two Interactive (TTWO) — Equity Research Report</dc:title>
  <dc:creator>Equity Research (illustrative)</dc:creator>
  <cp:lastModifiedBy>Un-named</cp:lastModifiedBy>
  <cp:revision>1</cp:revision>
  <dcterms:created xsi:type="dcterms:W3CDTF">2026-07-04T16:31:16.605Z</dcterms:created>
  <dcterms:modified xsi:type="dcterms:W3CDTF">2026-07-04T16:31:16.605Z</dcterms:modified>
</cp:coreProperties>
</file>

<file path=docProps/custom.xml><?xml version="1.0" encoding="utf-8"?>
<Properties xmlns="http://schemas.openxmlformats.org/officeDocument/2006/custom-properties" xmlns:vt="http://schemas.openxmlformats.org/officeDocument/2006/docPropsVTypes"/>
</file>